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90F16" w14:textId="77777777" w:rsidR="00553728" w:rsidRPr="007D4A90" w:rsidRDefault="006A090A" w:rsidP="008405F8">
      <w:pPr>
        <w:pStyle w:val="Title"/>
        <w:jc w:val="center"/>
        <w:rPr>
          <w:rFonts w:ascii="Calibri" w:hAnsi="Calibri" w:cs="Calibri"/>
        </w:rPr>
      </w:pPr>
      <w:r w:rsidRPr="007D4A90">
        <w:rPr>
          <w:rFonts w:ascii="Calibri" w:hAnsi="Calibri" w:cs="Calibri"/>
        </w:rPr>
        <w:t>The Honest Instrument</w:t>
      </w:r>
    </w:p>
    <w:p w14:paraId="64D4A51E" w14:textId="77777777" w:rsidR="00553728" w:rsidRPr="007D4A90" w:rsidRDefault="006A090A" w:rsidP="008405F8">
      <w:pPr>
        <w:spacing w:after="120"/>
        <w:jc w:val="center"/>
        <w:rPr>
          <w:rStyle w:val="SubtitleChar"/>
          <w:rFonts w:ascii="Calibri" w:hAnsi="Calibri" w:cs="Calibri"/>
        </w:rPr>
      </w:pPr>
      <w:r w:rsidRPr="007D4A90">
        <w:rPr>
          <w:rStyle w:val="SubtitleChar"/>
          <w:rFonts w:ascii="Calibri" w:hAnsi="Calibri" w:cs="Calibri"/>
        </w:rPr>
        <w:t>On Practitioner Ethics and the Adaptive Fitness System</w:t>
      </w:r>
    </w:p>
    <w:p w14:paraId="4CCF5FD7" w14:textId="2F4B4AC1" w:rsidR="00553728" w:rsidRDefault="00991C4E" w:rsidP="008405F8">
      <w:pPr>
        <w:spacing w:after="480"/>
        <w:jc w:val="center"/>
        <w:rPr>
          <w:rFonts w:ascii="Calibri" w:eastAsia="Arial" w:hAnsi="Calibri" w:cs="Calibri"/>
          <w:sz w:val="18"/>
          <w:szCs w:val="18"/>
        </w:rPr>
      </w:pPr>
      <w:r w:rsidRPr="007D4A90">
        <w:rPr>
          <w:rFonts w:ascii="Calibri" w:eastAsia="Arial" w:hAnsi="Calibri" w:cs="Calibri"/>
          <w:sz w:val="18"/>
          <w:szCs w:val="18"/>
        </w:rPr>
        <w:t>By</w:t>
      </w:r>
      <w:r w:rsidR="008405F8" w:rsidRPr="007D4A90">
        <w:rPr>
          <w:rFonts w:ascii="Calibri" w:eastAsia="Arial" w:hAnsi="Calibri" w:cs="Calibri"/>
          <w:sz w:val="18"/>
          <w:szCs w:val="18"/>
        </w:rPr>
        <w:t xml:space="preserve"> </w:t>
      </w:r>
      <w:r w:rsidR="006A090A" w:rsidRPr="007D4A90">
        <w:rPr>
          <w:rFonts w:ascii="Calibri" w:eastAsia="Arial" w:hAnsi="Calibri" w:cs="Calibri"/>
          <w:sz w:val="18"/>
          <w:szCs w:val="18"/>
        </w:rPr>
        <w:t>Mario Aiello</w:t>
      </w:r>
      <w:r w:rsidRPr="007D4A90">
        <w:rPr>
          <w:rFonts w:ascii="Calibri" w:eastAsia="Arial" w:hAnsi="Calibri" w:cs="Calibri"/>
          <w:sz w:val="18"/>
          <w:szCs w:val="18"/>
        </w:rPr>
        <w:t xml:space="preserve"> – Adaptive Ways</w:t>
      </w:r>
    </w:p>
    <w:p w14:paraId="4DB24A6A" w14:textId="71F7B919" w:rsidR="00087E36" w:rsidRPr="00E61718" w:rsidRDefault="00087E36" w:rsidP="008405F8">
      <w:pPr>
        <w:spacing w:after="480"/>
        <w:jc w:val="center"/>
        <w:rPr>
          <w:rFonts w:ascii="Calibri" w:hAnsi="Calibri" w:cs="Calibri"/>
          <w:i/>
          <w:iCs/>
          <w:color w:val="444444"/>
          <w:sz w:val="20"/>
          <w:szCs w:val="20"/>
        </w:rPr>
      </w:pPr>
      <w:r w:rsidRPr="007D4A90">
        <w:rPr>
          <w:rFonts w:ascii="Calibri" w:hAnsi="Calibri" w:cs="Calibri"/>
          <w:i/>
          <w:iCs/>
          <w:color w:val="444444"/>
          <w:sz w:val="20"/>
          <w:szCs w:val="20"/>
        </w:rPr>
        <w:t>This essay is t</w:t>
      </w:r>
      <w:r w:rsidR="00E61718">
        <w:rPr>
          <w:rFonts w:ascii="Calibri" w:hAnsi="Calibri" w:cs="Calibri"/>
          <w:i/>
          <w:iCs/>
          <w:color w:val="444444"/>
          <w:sz w:val="20"/>
          <w:szCs w:val="20"/>
        </w:rPr>
        <w:t>he fourt</w:t>
      </w:r>
      <w:r w:rsidR="000D3BF3">
        <w:rPr>
          <w:rFonts w:ascii="Calibri" w:hAnsi="Calibri" w:cs="Calibri"/>
          <w:i/>
          <w:iCs/>
          <w:color w:val="444444"/>
          <w:sz w:val="20"/>
          <w:szCs w:val="20"/>
        </w:rPr>
        <w:t>h</w:t>
      </w:r>
      <w:r w:rsidR="00E61718">
        <w:rPr>
          <w:rFonts w:ascii="Calibri" w:hAnsi="Calibri" w:cs="Calibri"/>
          <w:i/>
          <w:iCs/>
          <w:color w:val="444444"/>
          <w:sz w:val="20"/>
          <w:szCs w:val="20"/>
        </w:rPr>
        <w:t xml:space="preserve"> of five </w:t>
      </w:r>
      <w:r w:rsidRPr="007D4A90">
        <w:rPr>
          <w:rFonts w:ascii="Calibri" w:hAnsi="Calibri" w:cs="Calibri"/>
          <w:i/>
          <w:iCs/>
          <w:color w:val="444444"/>
          <w:sz w:val="20"/>
          <w:szCs w:val="20"/>
        </w:rPr>
        <w:t>of the Adaptive Fitness System philosophical series.</w:t>
      </w:r>
    </w:p>
    <w:p w14:paraId="4A9CA32E" w14:textId="77777777" w:rsidR="00553728" w:rsidRPr="00713604" w:rsidRDefault="006A090A" w:rsidP="007D4A90">
      <w:pPr>
        <w:pStyle w:val="Heading2"/>
        <w:rPr>
          <w:rFonts w:ascii="Calibri" w:hAnsi="Calibri" w:cs="Calibri"/>
          <w:sz w:val="28"/>
          <w:szCs w:val="28"/>
        </w:rPr>
      </w:pPr>
      <w:r w:rsidRPr="00713604">
        <w:rPr>
          <w:rFonts w:ascii="Calibri" w:hAnsi="Calibri" w:cs="Calibri"/>
          <w:sz w:val="28"/>
          <w:szCs w:val="28"/>
        </w:rPr>
        <w:t>The Temptation That Comes with the Territory</w:t>
      </w:r>
    </w:p>
    <w:p w14:paraId="762D0103" w14:textId="77777777" w:rsidR="00553728" w:rsidRPr="007D4A90" w:rsidRDefault="006A090A">
      <w:pPr>
        <w:spacing w:after="200"/>
        <w:rPr>
          <w:rFonts w:ascii="Calibri" w:hAnsi="Calibri" w:cs="Calibri"/>
        </w:rPr>
      </w:pPr>
      <w:r w:rsidRPr="007D4A90">
        <w:rPr>
          <w:rFonts w:ascii="Calibri" w:hAnsi="Calibri" w:cs="Calibri"/>
        </w:rPr>
        <w:t>There is a particular corruption available to organizational practitioners that is worth naming directly, because it is common, rarely acknowledged, and dressed well enough to pass for professionalism.</w:t>
      </w:r>
    </w:p>
    <w:p w14:paraId="378CC01C" w14:textId="77777777" w:rsidR="00553728" w:rsidRPr="007D4A90" w:rsidRDefault="006A090A">
      <w:pPr>
        <w:spacing w:after="200"/>
        <w:rPr>
          <w:rFonts w:ascii="Calibri" w:hAnsi="Calibri" w:cs="Calibri"/>
        </w:rPr>
      </w:pPr>
      <w:r w:rsidRPr="007D4A90">
        <w:rPr>
          <w:rFonts w:ascii="Calibri" w:hAnsi="Calibri" w:cs="Calibri"/>
        </w:rPr>
        <w:t>It goes like this. The practitioner enters an organization with genuine diagnostic capability. They read the situation. They form a view. And then — before that view reaches the client — it passes through a filter. What will land well? What has the client already decided? What conclusion is the budget contingent on? What will make the next engagement more likely? The view that emerges on the other side of that filter is not a lie, exactly. It is a managed truth. Accurate enough to be defensible, shaped enough to be safe.</w:t>
      </w:r>
    </w:p>
    <w:p w14:paraId="2DB2BAEE" w14:textId="77777777" w:rsidR="00553728" w:rsidRPr="007D4A90" w:rsidRDefault="006A090A">
      <w:pPr>
        <w:spacing w:after="200"/>
        <w:rPr>
          <w:rFonts w:ascii="Calibri" w:hAnsi="Calibri" w:cs="Calibri"/>
        </w:rPr>
      </w:pPr>
      <w:r w:rsidRPr="007D4A90">
        <w:rPr>
          <w:rFonts w:ascii="Calibri" w:hAnsi="Calibri" w:cs="Calibri"/>
        </w:rPr>
        <w:t xml:space="preserve">This is not a fringe behavior. It is a structural temptation built into the economics and social dynamics of consulting work. Clients hold power. They commission the work, approve the findings, decide what happens next. The practitioner who consistently tells clients things they don’t want to hear tends, over time, to find themselves with fewer clients. The incentive structure rewards palatability. It punishes </w:t>
      </w:r>
      <w:proofErr w:type="spellStart"/>
      <w:r w:rsidRPr="007D4A90">
        <w:rPr>
          <w:rFonts w:ascii="Calibri" w:hAnsi="Calibri" w:cs="Calibri"/>
        </w:rPr>
        <w:t>candor</w:t>
      </w:r>
      <w:proofErr w:type="spellEnd"/>
      <w:r w:rsidRPr="007D4A90">
        <w:rPr>
          <w:rFonts w:ascii="Calibri" w:hAnsi="Calibri" w:cs="Calibri"/>
        </w:rPr>
        <w:t xml:space="preserve"> at the point where </w:t>
      </w:r>
      <w:proofErr w:type="spellStart"/>
      <w:r w:rsidRPr="007D4A90">
        <w:rPr>
          <w:rFonts w:ascii="Calibri" w:hAnsi="Calibri" w:cs="Calibri"/>
        </w:rPr>
        <w:t>candor</w:t>
      </w:r>
      <w:proofErr w:type="spellEnd"/>
      <w:r w:rsidRPr="007D4A90">
        <w:rPr>
          <w:rFonts w:ascii="Calibri" w:hAnsi="Calibri" w:cs="Calibri"/>
        </w:rPr>
        <w:t xml:space="preserve"> is most needed.</w:t>
      </w:r>
    </w:p>
    <w:p w14:paraId="3CB9FE40" w14:textId="77777777" w:rsidR="00553728" w:rsidRPr="007D4A90" w:rsidRDefault="006A090A">
      <w:pPr>
        <w:spacing w:after="200"/>
        <w:rPr>
          <w:rFonts w:ascii="Calibri" w:hAnsi="Calibri" w:cs="Calibri"/>
        </w:rPr>
      </w:pPr>
      <w:r w:rsidRPr="007D4A90">
        <w:rPr>
          <w:rFonts w:ascii="Calibri" w:hAnsi="Calibri" w:cs="Calibri"/>
        </w:rPr>
        <w:t>The result is a profession with a systematic bias toward confirmation. Toward validating the strategy leadership has already committed to. Toward diagnosing problems that the available methodology happens to solve. Toward framing findings in language calibrated to the client’s tolerance rather than the organization’s actual condition. This bias doesn’t announce itself. It operates beneath the surface of professional competence, inside the choices practitioners make about what to emphasize, what to soften, and what to leave unsaid.</w:t>
      </w:r>
    </w:p>
    <w:p w14:paraId="465BA328" w14:textId="77777777" w:rsidR="00553728" w:rsidRPr="007D4A90" w:rsidRDefault="006A090A">
      <w:pPr>
        <w:spacing w:after="200"/>
        <w:rPr>
          <w:rFonts w:ascii="Calibri" w:hAnsi="Calibri" w:cs="Calibri"/>
        </w:rPr>
      </w:pPr>
      <w:r w:rsidRPr="007D4A90">
        <w:rPr>
          <w:rFonts w:ascii="Calibri" w:hAnsi="Calibri" w:cs="Calibri"/>
        </w:rPr>
        <w:t>The Adaptive Fitness System treats this as an ethical failure with epistemological consequences. Not just a moral lapse, but a corruption of the inquiry that the practitioner is there to conduct. And it treats honesty not as a professional virtue to be aspired to, but as a structural requirement without which the approach cannot function.</w:t>
      </w:r>
    </w:p>
    <w:p w14:paraId="448F216E" w14:textId="77777777" w:rsidR="00553728" w:rsidRPr="00713604" w:rsidRDefault="006A090A" w:rsidP="00E335C3">
      <w:pPr>
        <w:pStyle w:val="Heading2"/>
        <w:rPr>
          <w:sz w:val="28"/>
          <w:szCs w:val="28"/>
        </w:rPr>
      </w:pPr>
      <w:r w:rsidRPr="00713604">
        <w:rPr>
          <w:sz w:val="28"/>
          <w:szCs w:val="28"/>
        </w:rPr>
        <w:t>Why Honesty Is Not Optional</w:t>
      </w:r>
    </w:p>
    <w:p w14:paraId="42024204" w14:textId="77777777" w:rsidR="00553728" w:rsidRPr="007D4A90" w:rsidRDefault="006A090A">
      <w:pPr>
        <w:spacing w:after="200"/>
        <w:rPr>
          <w:rFonts w:ascii="Calibri" w:hAnsi="Calibri" w:cs="Calibri"/>
        </w:rPr>
      </w:pPr>
      <w:r w:rsidRPr="007D4A90">
        <w:rPr>
          <w:rFonts w:ascii="Calibri" w:hAnsi="Calibri" w:cs="Calibri"/>
        </w:rPr>
        <w:t xml:space="preserve">The standard framing of professional ethics treats honesty as a duty — something the practitioner owes to the client as a matter of obligation. That framing is not wrong, but it is insufficient. It positions honesty as an external constraint on practice, a rule applied from outside. What the AFS requires is a stronger claim: that honesty is constitutive of competent </w:t>
      </w:r>
      <w:r w:rsidRPr="007D4A90">
        <w:rPr>
          <w:rFonts w:ascii="Calibri" w:hAnsi="Calibri" w:cs="Calibri"/>
        </w:rPr>
        <w:lastRenderedPageBreak/>
        <w:t>practice. Remove it, and you haven’t produced a less ethical version of the same thing. You have produced something that is no longer the same thing at all.</w:t>
      </w:r>
    </w:p>
    <w:p w14:paraId="6BAB711C" w14:textId="77777777" w:rsidR="00553728" w:rsidRPr="007D4A90" w:rsidRDefault="006A090A">
      <w:pPr>
        <w:spacing w:after="200"/>
        <w:rPr>
          <w:rFonts w:ascii="Calibri" w:hAnsi="Calibri" w:cs="Calibri"/>
        </w:rPr>
      </w:pPr>
      <w:r w:rsidRPr="007D4A90">
        <w:rPr>
          <w:rFonts w:ascii="Calibri" w:hAnsi="Calibri" w:cs="Calibri"/>
        </w:rPr>
        <w:t>The philosophical ground for this claim comes from virtue epistemology — the tradition that asks not just what we should believe, but what kind of knower we should be. Aristotle’s distinction between intellectual virtues is the starting point. Episteme is the knowledge of necessary truths. Techne is the knowledge of how to make things. Phronesis — practical wisdom — is the knowledge of how to act well in particular situations, under conditions of uncertainty, where no rule determines the right answer in advance. The organizational practitioner operates almost entirely in the domain of phronesis. The situations are always particular, the variables are always entangled, and the right course of action is never simply derivable from a methodology.</w:t>
      </w:r>
    </w:p>
    <w:p w14:paraId="2B1F4153" w14:textId="77777777" w:rsidR="00553728" w:rsidRPr="007D4A90" w:rsidRDefault="006A090A">
      <w:pPr>
        <w:spacing w:after="200"/>
        <w:rPr>
          <w:rFonts w:ascii="Calibri" w:hAnsi="Calibri" w:cs="Calibri"/>
        </w:rPr>
      </w:pPr>
      <w:r w:rsidRPr="007D4A90">
        <w:rPr>
          <w:rFonts w:ascii="Calibri" w:hAnsi="Calibri" w:cs="Calibri"/>
        </w:rPr>
        <w:t>What phronesis requires is not just skill but character — specifically, the intellectual virtues that make honest perception and honest judgment possible. Aristotle called the relevant cluster of virtues those of the person who sees clearly and speaks truly: who does not distort what they observe to fit what they wish were true, who does not adjust their conclusions to please their audience, who maintains the integrity of their perception even when that integrity is costly.</w:t>
      </w:r>
    </w:p>
    <w:p w14:paraId="6919D442" w14:textId="77777777" w:rsidR="00553728" w:rsidRPr="007D4A90" w:rsidRDefault="006A090A">
      <w:pPr>
        <w:spacing w:after="200"/>
        <w:rPr>
          <w:rFonts w:ascii="Calibri" w:hAnsi="Calibri" w:cs="Calibri"/>
        </w:rPr>
      </w:pPr>
      <w:r w:rsidRPr="007D4A90">
        <w:rPr>
          <w:rFonts w:ascii="Calibri" w:hAnsi="Calibri" w:cs="Calibri"/>
        </w:rPr>
        <w:t>This is not idealism. It is a description of what competent practice actually requires. A practitioner who systematically manages their findings to suit client preferences is not just behaving unethically. They are degrading their own diagnostic capability. The habit of self-censorship, once established, doesn’t stay at the level of communication. It works backward into perception. The practitioner who has learned to soften conclusions before delivering them eventually learns to soften them before forming them. The corruption of the output becomes a corruption of the input.</w:t>
      </w:r>
    </w:p>
    <w:p w14:paraId="1EF0D047" w14:textId="77777777" w:rsidR="00553728" w:rsidRPr="007D4A90" w:rsidRDefault="006A090A">
      <w:pPr>
        <w:spacing w:after="200"/>
        <w:rPr>
          <w:rFonts w:ascii="Calibri" w:hAnsi="Calibri" w:cs="Calibri"/>
        </w:rPr>
      </w:pPr>
      <w:r w:rsidRPr="007D4A90">
        <w:rPr>
          <w:rFonts w:ascii="Calibri" w:hAnsi="Calibri" w:cs="Calibri"/>
        </w:rPr>
        <w:t>Schön identified the mechanism without using this language. The reflective practitioner — the one who learns from practice rather than merely executing it — depends on honest feedback loops between action and outcome. Reflection requires seeing what actually happened, not what was supposed to happen or what would be convenient to report. A practitioner who has habituated themselves to managing reality for the client has simultaneously disabled their own capacity for reflection. They can no longer learn from the work in the full sense, because the work they are registering is a version they have already edited.</w:t>
      </w:r>
    </w:p>
    <w:p w14:paraId="177307A4" w14:textId="77777777" w:rsidR="00553728" w:rsidRPr="007D4A90" w:rsidRDefault="006A090A">
      <w:pPr>
        <w:spacing w:after="200"/>
        <w:rPr>
          <w:rFonts w:ascii="Calibri" w:hAnsi="Calibri" w:cs="Calibri"/>
        </w:rPr>
      </w:pPr>
      <w:r w:rsidRPr="007D4A90">
        <w:rPr>
          <w:rFonts w:ascii="Calibri" w:hAnsi="Calibri" w:cs="Calibri"/>
        </w:rPr>
        <w:t>The practitioner as instrument, in the AFS account, is only as reliable as the instrument’s calibration. And calibration requires honesty as a prior condition — not as a value layered on top of technique, but as the condition that makes technique trustworthy in the first place.</w:t>
      </w:r>
    </w:p>
    <w:p w14:paraId="32F8DBDF" w14:textId="77777777" w:rsidR="00553728" w:rsidRPr="00D30B7E" w:rsidRDefault="006A090A" w:rsidP="00E335C3">
      <w:pPr>
        <w:pStyle w:val="Heading2"/>
        <w:rPr>
          <w:sz w:val="28"/>
          <w:szCs w:val="28"/>
        </w:rPr>
      </w:pPr>
      <w:r w:rsidRPr="00D30B7E">
        <w:rPr>
          <w:sz w:val="28"/>
          <w:szCs w:val="28"/>
        </w:rPr>
        <w:t>The Power Asymmetry and What It Demands</w:t>
      </w:r>
    </w:p>
    <w:p w14:paraId="1017C3D2" w14:textId="77777777" w:rsidR="00553728" w:rsidRPr="007D4A90" w:rsidRDefault="006A090A">
      <w:pPr>
        <w:spacing w:after="200"/>
        <w:rPr>
          <w:rFonts w:ascii="Calibri" w:hAnsi="Calibri" w:cs="Calibri"/>
        </w:rPr>
      </w:pPr>
      <w:r w:rsidRPr="007D4A90">
        <w:rPr>
          <w:rFonts w:ascii="Calibri" w:hAnsi="Calibri" w:cs="Calibri"/>
        </w:rPr>
        <w:t xml:space="preserve">The relational dimension of practitioner ethics cannot be entirely avoided, even in a paper that leads with the epistemic. Because the epistemic temptations described above are not abstract. They are generated by a specific structural condition: the practitioner operates inside a relationship where the client holds significant power, and where that power can be </w:t>
      </w:r>
      <w:r w:rsidRPr="007D4A90">
        <w:rPr>
          <w:rFonts w:ascii="Calibri" w:hAnsi="Calibri" w:cs="Calibri"/>
        </w:rPr>
        <w:lastRenderedPageBreak/>
        <w:t>felt in every diagnostic conversation, every finding review, every moment where honest assessment diverges from preferred conclusion.</w:t>
      </w:r>
    </w:p>
    <w:p w14:paraId="7ABFFF8A" w14:textId="77777777" w:rsidR="00553728" w:rsidRPr="007D4A90" w:rsidRDefault="006A090A">
      <w:pPr>
        <w:spacing w:after="200"/>
        <w:rPr>
          <w:rFonts w:ascii="Calibri" w:hAnsi="Calibri" w:cs="Calibri"/>
        </w:rPr>
      </w:pPr>
      <w:r w:rsidRPr="007D4A90">
        <w:rPr>
          <w:rFonts w:ascii="Calibri" w:hAnsi="Calibri" w:cs="Calibri"/>
        </w:rPr>
        <w:t>This asymmetry is real and should be named. The client commissions the work. The client controls access to the organization. The client decides whether the findings are acted on, filed, or ignored. The client determines whether the engagement continues and whether the practitioner is recommended to others. These are not trivial levers. They shape the practitioner’s situation in ways that make intellectual independence genuinely difficult to maintain.</w:t>
      </w:r>
    </w:p>
    <w:p w14:paraId="32BB5070" w14:textId="77777777" w:rsidR="00553728" w:rsidRPr="007D4A90" w:rsidRDefault="006A090A">
      <w:pPr>
        <w:spacing w:after="200"/>
        <w:rPr>
          <w:rFonts w:ascii="Calibri" w:hAnsi="Calibri" w:cs="Calibri"/>
        </w:rPr>
      </w:pPr>
      <w:r w:rsidRPr="007D4A90">
        <w:rPr>
          <w:rFonts w:ascii="Calibri" w:hAnsi="Calibri" w:cs="Calibri"/>
        </w:rPr>
        <w:t>What the asymmetry demands, ethically, is not that the practitioner pretend it doesn’t exist. It is that the practitioner acknowledge it clearly — to themselves, first of all — and develop the capacity to act with integrity inside it rather than being unconsciously governed by it. This is a form of practical courage: not the dramatic courage of the whistleblower, but the quieter, more persistent courage of saying clearly what you see, in meeting after meeting, in finding after finding, when the easier path is always available and always slightly more comfortable.</w:t>
      </w:r>
    </w:p>
    <w:p w14:paraId="5709A38A" w14:textId="77777777" w:rsidR="00553728" w:rsidRPr="007D4A90" w:rsidRDefault="006A090A">
      <w:pPr>
        <w:spacing w:after="200"/>
        <w:rPr>
          <w:rFonts w:ascii="Calibri" w:hAnsi="Calibri" w:cs="Calibri"/>
        </w:rPr>
      </w:pPr>
      <w:r w:rsidRPr="007D4A90">
        <w:rPr>
          <w:rFonts w:ascii="Calibri" w:hAnsi="Calibri" w:cs="Calibri"/>
        </w:rPr>
        <w:t>The AFS positions this courage not as a personal virtue that some practitioners happen to have, but as a professional requirement that the approach depends on. An AFS practitioner who manages their findings to protect the relationship is not using the approach. They are performing it — producing the surface behaviors of an inquiry-based practice while systematically undermining the inquiry. The organizational costs of that performance fall not on the practitioner but on the people inside the organization who are navigating a change effort built on managed rather than honest assessment.</w:t>
      </w:r>
    </w:p>
    <w:p w14:paraId="27D3D095" w14:textId="77777777" w:rsidR="00553728" w:rsidRPr="007D4A90" w:rsidRDefault="006A090A">
      <w:pPr>
        <w:spacing w:after="200"/>
        <w:rPr>
          <w:rFonts w:ascii="Calibri" w:hAnsi="Calibri" w:cs="Calibri"/>
        </w:rPr>
      </w:pPr>
      <w:r w:rsidRPr="007D4A90">
        <w:rPr>
          <w:rFonts w:ascii="Calibri" w:hAnsi="Calibri" w:cs="Calibri"/>
        </w:rPr>
        <w:t>This is where the ethical and the epistemological converge. The practitioner’s honesty is not just an obligation to their own integrity. It is an obligation to the people inside the organization who have no access to the practitioner’s unedited view — who are dependent on the practitioner seeing clearly and speaking truly, because they cannot do it for themselves from where they stand.</w:t>
      </w:r>
    </w:p>
    <w:p w14:paraId="03F5A9BE" w14:textId="77777777" w:rsidR="00553728" w:rsidRPr="00D30B7E" w:rsidRDefault="006A090A" w:rsidP="0033203E">
      <w:pPr>
        <w:pStyle w:val="Heading2"/>
        <w:rPr>
          <w:sz w:val="28"/>
          <w:szCs w:val="28"/>
        </w:rPr>
      </w:pPr>
      <w:r w:rsidRPr="00D30B7E">
        <w:rPr>
          <w:sz w:val="28"/>
          <w:szCs w:val="28"/>
        </w:rPr>
        <w:t>Honesty as Structural Requirement in the AFS</w:t>
      </w:r>
    </w:p>
    <w:p w14:paraId="027D87B0" w14:textId="77777777" w:rsidR="00553728" w:rsidRPr="007D4A90" w:rsidRDefault="006A090A">
      <w:pPr>
        <w:spacing w:after="200"/>
        <w:rPr>
          <w:rFonts w:ascii="Calibri" w:hAnsi="Calibri" w:cs="Calibri"/>
        </w:rPr>
      </w:pPr>
      <w:r w:rsidRPr="007D4A90">
        <w:rPr>
          <w:rFonts w:ascii="Calibri" w:hAnsi="Calibri" w:cs="Calibri"/>
        </w:rPr>
        <w:t xml:space="preserve">The AFS canon has always treated honesty as a precondition rather than a feature. The logical architecture white paper names it in the preamble. The Fitness Dial’s four questions are designed to surface what is actually true about an organization’s adaptive capability — which only works if the practitioner is committed to receiving and reporting what the questions actually reveal, rather than what a </w:t>
      </w:r>
      <w:proofErr w:type="spellStart"/>
      <w:r w:rsidRPr="007D4A90">
        <w:rPr>
          <w:rFonts w:ascii="Calibri" w:hAnsi="Calibri" w:cs="Calibri"/>
        </w:rPr>
        <w:t>favorable</w:t>
      </w:r>
      <w:proofErr w:type="spellEnd"/>
      <w:r w:rsidRPr="007D4A90">
        <w:rPr>
          <w:rFonts w:ascii="Calibri" w:hAnsi="Calibri" w:cs="Calibri"/>
        </w:rPr>
        <w:t xml:space="preserve"> reading would suggest.</w:t>
      </w:r>
    </w:p>
    <w:p w14:paraId="24CB1E1E" w14:textId="77777777" w:rsidR="00553728" w:rsidRPr="007D4A90" w:rsidRDefault="006A090A">
      <w:pPr>
        <w:spacing w:after="200"/>
        <w:rPr>
          <w:rFonts w:ascii="Calibri" w:hAnsi="Calibri" w:cs="Calibri"/>
        </w:rPr>
      </w:pPr>
      <w:r w:rsidRPr="007D4A90">
        <w:rPr>
          <w:rFonts w:ascii="Calibri" w:hAnsi="Calibri" w:cs="Calibri"/>
        </w:rPr>
        <w:t>The Validation Lens makes this structural dependency explicit. Validation is the discipline of checking whether what was intended is what is actually happening. That discipline is worthless if the practitioner is simultaneously managing what counts as evidence, softening what the evidence shows, or framing outcomes in language that protects prior commitments. Managed validation is not validation. It is the appearance of rigor without the substance — and it is arguably more dangerous than no validation at all, because it generates false confidence in conclusions that have not actually been tested.</w:t>
      </w:r>
    </w:p>
    <w:p w14:paraId="1F4F1AB4" w14:textId="77777777" w:rsidR="00553728" w:rsidRPr="007D4A90" w:rsidRDefault="006A090A">
      <w:pPr>
        <w:spacing w:after="200"/>
        <w:rPr>
          <w:rFonts w:ascii="Calibri" w:hAnsi="Calibri" w:cs="Calibri"/>
        </w:rPr>
      </w:pPr>
      <w:r w:rsidRPr="007D4A90">
        <w:rPr>
          <w:rFonts w:ascii="Calibri" w:hAnsi="Calibri" w:cs="Calibri"/>
        </w:rPr>
        <w:lastRenderedPageBreak/>
        <w:t>Reverse Validation is the sharpest case. Working backward from outcomes to interrogate the causal story that predicted them requires a willingness to find that the story was wrong — and to say so. A practitioner who enters a Reverse Validation exercise committed to confirming the original hypothesis has already abandoned the exercise. The value of the discipline lies entirely in its willingness to produce disconfirmation. Which means it requires, as a prior condition, a practitioner who is genuinely open to being wrong and genuinely willing to report that they were.</w:t>
      </w:r>
    </w:p>
    <w:p w14:paraId="38C01F8B" w14:textId="77777777" w:rsidR="00553728" w:rsidRPr="007D4A90" w:rsidRDefault="006A090A">
      <w:pPr>
        <w:spacing w:after="200"/>
        <w:rPr>
          <w:rFonts w:ascii="Calibri" w:hAnsi="Calibri" w:cs="Calibri"/>
        </w:rPr>
      </w:pPr>
      <w:r w:rsidRPr="007D4A90">
        <w:rPr>
          <w:rFonts w:ascii="Calibri" w:hAnsi="Calibri" w:cs="Calibri"/>
        </w:rPr>
        <w:t xml:space="preserve">Adaptive Intelligence, at the organizational level, depends on the same condition at the practitioner level. An organization cannot develop the capacity to update its interpretive frameworks if the practitioner working with it is </w:t>
      </w:r>
      <w:proofErr w:type="spellStart"/>
      <w:r w:rsidRPr="007D4A90">
        <w:rPr>
          <w:rFonts w:ascii="Calibri" w:hAnsi="Calibri" w:cs="Calibri"/>
        </w:rPr>
        <w:t>modeling</w:t>
      </w:r>
      <w:proofErr w:type="spellEnd"/>
      <w:r w:rsidRPr="007D4A90">
        <w:rPr>
          <w:rFonts w:ascii="Calibri" w:hAnsi="Calibri" w:cs="Calibri"/>
        </w:rPr>
        <w:t xml:space="preserve"> the opposite behavior — protecting frameworks, managing findings, treating honest inquiry as a risk to be mitigated. The practitioner is not just a technician applying a set of tools. They are, in every interaction, demonstrating what honest inquiry looks like in practice. The </w:t>
      </w:r>
      <w:proofErr w:type="spellStart"/>
      <w:r w:rsidRPr="007D4A90">
        <w:rPr>
          <w:rFonts w:ascii="Calibri" w:hAnsi="Calibri" w:cs="Calibri"/>
        </w:rPr>
        <w:t>modeling</w:t>
      </w:r>
      <w:proofErr w:type="spellEnd"/>
      <w:r w:rsidRPr="007D4A90">
        <w:rPr>
          <w:rFonts w:ascii="Calibri" w:hAnsi="Calibri" w:cs="Calibri"/>
        </w:rPr>
        <w:t xml:space="preserve"> is part of the intervention.</w:t>
      </w:r>
    </w:p>
    <w:p w14:paraId="3D86DB28" w14:textId="77777777" w:rsidR="00553728" w:rsidRPr="00D30B7E" w:rsidRDefault="006A090A" w:rsidP="0033203E">
      <w:pPr>
        <w:pStyle w:val="Heading2"/>
        <w:rPr>
          <w:sz w:val="28"/>
          <w:szCs w:val="28"/>
        </w:rPr>
      </w:pPr>
      <w:r w:rsidRPr="00D30B7E">
        <w:rPr>
          <w:sz w:val="28"/>
          <w:szCs w:val="28"/>
        </w:rPr>
        <w:t>The Ethics of Not Knowing</w:t>
      </w:r>
    </w:p>
    <w:p w14:paraId="79926831" w14:textId="77777777" w:rsidR="00553728" w:rsidRPr="007D4A90" w:rsidRDefault="006A090A">
      <w:pPr>
        <w:spacing w:after="200"/>
        <w:rPr>
          <w:rFonts w:ascii="Calibri" w:hAnsi="Calibri" w:cs="Calibri"/>
        </w:rPr>
      </w:pPr>
      <w:r w:rsidRPr="007D4A90">
        <w:rPr>
          <w:rFonts w:ascii="Calibri" w:hAnsi="Calibri" w:cs="Calibri"/>
        </w:rPr>
        <w:t>There is a further dimension of practitioner ethics that receives less attention than it deserves: the obligation to be honest about the limits of one’s own knowledge.</w:t>
      </w:r>
    </w:p>
    <w:p w14:paraId="00B417C4" w14:textId="77777777" w:rsidR="00553728" w:rsidRPr="007D4A90" w:rsidRDefault="006A090A">
      <w:pPr>
        <w:spacing w:after="200"/>
        <w:rPr>
          <w:rFonts w:ascii="Calibri" w:hAnsi="Calibri" w:cs="Calibri"/>
        </w:rPr>
      </w:pPr>
      <w:r w:rsidRPr="007D4A90">
        <w:rPr>
          <w:rFonts w:ascii="Calibri" w:hAnsi="Calibri" w:cs="Calibri"/>
        </w:rPr>
        <w:t>Organizational practitioners operate under conditions of genuine uncertainty. The situation is always partially opaque. The causal dynamics are always partially unknown. The right course of action is rarely derivable with confidence from the available evidence. A practitioner who presents their assessments with more certainty than the evidence warrants is not being helpful. They are substituting false confidence for honest uncertainty — and false confidence is a form of dishonesty with real organizational consequences.</w:t>
      </w:r>
    </w:p>
    <w:p w14:paraId="18006657" w14:textId="77777777" w:rsidR="00553728" w:rsidRPr="007D4A90" w:rsidRDefault="006A090A">
      <w:pPr>
        <w:spacing w:after="200"/>
        <w:rPr>
          <w:rFonts w:ascii="Calibri" w:hAnsi="Calibri" w:cs="Calibri"/>
        </w:rPr>
      </w:pPr>
      <w:r w:rsidRPr="007D4A90">
        <w:rPr>
          <w:rFonts w:ascii="Calibri" w:hAnsi="Calibri" w:cs="Calibri"/>
        </w:rPr>
        <w:t>The AFS account of abductive reasoning — inference to the best explanation, held open to revision — is not just an epistemological position. It is an ethical one. It requires the practitioner to represent their conclusions as what they actually are: the best available hypothesis given current evidence, not the established truth. It requires them to make the conditionality of their judgments visible to clients, rather than projecting certainty to maintain authority or win confidence.</w:t>
      </w:r>
    </w:p>
    <w:p w14:paraId="6262CA8E" w14:textId="77777777" w:rsidR="00553728" w:rsidRPr="007D4A90" w:rsidRDefault="006A090A">
      <w:pPr>
        <w:spacing w:after="200"/>
        <w:rPr>
          <w:rFonts w:ascii="Calibri" w:hAnsi="Calibri" w:cs="Calibri"/>
        </w:rPr>
      </w:pPr>
      <w:r w:rsidRPr="007D4A90">
        <w:rPr>
          <w:rFonts w:ascii="Calibri" w:hAnsi="Calibri" w:cs="Calibri"/>
        </w:rPr>
        <w:t>This is harder than it sounds. Clients often want certainty. They are navigating difficult situations under pressure, and the practitioner who says “this is my best current reading, but here is what would change it” offers less immediate comfort than the practitioner who says “here is what you need to do.” The temptation to provide false certainty is a temptation to be helpful in a way that actually isn’t — to give the client what they want in the moment at the cost of what they need over time.</w:t>
      </w:r>
    </w:p>
    <w:p w14:paraId="0301A2B6" w14:textId="77777777" w:rsidR="00553728" w:rsidRPr="007D4A90" w:rsidRDefault="006A090A">
      <w:pPr>
        <w:spacing w:after="200"/>
        <w:rPr>
          <w:rFonts w:ascii="Calibri" w:hAnsi="Calibri" w:cs="Calibri"/>
        </w:rPr>
      </w:pPr>
      <w:r w:rsidRPr="007D4A90">
        <w:rPr>
          <w:rFonts w:ascii="Calibri" w:hAnsi="Calibri" w:cs="Calibri"/>
        </w:rPr>
        <w:t>Intellectual honesty about uncertainty is, in this sense, a form of respect for the client’s agency. It treats them as capable of navigating ambiguity rather than needing to be protected from it. It keeps the inquiry open rather than closing it prematurely around a conclusion the evidence doesn’t yet fully support. And it models, once again, the kind of epistemic behavior that organizational fitness actually requires.</w:t>
      </w:r>
    </w:p>
    <w:p w14:paraId="70CBD850" w14:textId="77777777" w:rsidR="00553728" w:rsidRPr="00D30B7E" w:rsidRDefault="006A090A" w:rsidP="0033203E">
      <w:pPr>
        <w:pStyle w:val="Heading2"/>
        <w:rPr>
          <w:sz w:val="28"/>
          <w:szCs w:val="28"/>
        </w:rPr>
      </w:pPr>
      <w:r w:rsidRPr="00D30B7E">
        <w:rPr>
          <w:sz w:val="28"/>
          <w:szCs w:val="28"/>
        </w:rPr>
        <w:t>What Kind of Practitioner the AFS Requires</w:t>
      </w:r>
    </w:p>
    <w:p w14:paraId="573657BF" w14:textId="77777777" w:rsidR="00553728" w:rsidRPr="007D4A90" w:rsidRDefault="006A090A">
      <w:pPr>
        <w:spacing w:after="200"/>
        <w:rPr>
          <w:rFonts w:ascii="Calibri" w:hAnsi="Calibri" w:cs="Calibri"/>
        </w:rPr>
      </w:pPr>
      <w:r w:rsidRPr="007D4A90">
        <w:rPr>
          <w:rFonts w:ascii="Calibri" w:hAnsi="Calibri" w:cs="Calibri"/>
        </w:rPr>
        <w:lastRenderedPageBreak/>
        <w:t>The ethical picture that emerges from this account is not a checklist of obligations. It is a portrait of a kind of person — or more precisely, a kind of practitioner that the AFS approach both requires and, over time, works to develop.</w:t>
      </w:r>
    </w:p>
    <w:p w14:paraId="5AD10D55" w14:textId="77777777" w:rsidR="00553728" w:rsidRPr="007D4A90" w:rsidRDefault="006A090A">
      <w:pPr>
        <w:spacing w:after="200"/>
        <w:rPr>
          <w:rFonts w:ascii="Calibri" w:hAnsi="Calibri" w:cs="Calibri"/>
        </w:rPr>
      </w:pPr>
      <w:r w:rsidRPr="007D4A90">
        <w:rPr>
          <w:rFonts w:ascii="Calibri" w:hAnsi="Calibri" w:cs="Calibri"/>
        </w:rPr>
        <w:t>This practitioner sees clearly and reports honestly, even when the honest report is unwelcome. They hold their conclusions with appropriate tentativeness, representing uncertainty as uncertainty rather than dressing it as confidence. They maintain the integrity of the inquiry against the structural pressures that would compromise it. They understand that their own character — their habits of perception, judgment, and communication — is not separate from their practice but constitutive of it.</w:t>
      </w:r>
    </w:p>
    <w:p w14:paraId="20F952A4" w14:textId="77777777" w:rsidR="00553728" w:rsidRPr="007D4A90" w:rsidRDefault="006A090A">
      <w:pPr>
        <w:spacing w:after="200"/>
        <w:rPr>
          <w:rFonts w:ascii="Calibri" w:hAnsi="Calibri" w:cs="Calibri"/>
        </w:rPr>
      </w:pPr>
      <w:r w:rsidRPr="007D4A90">
        <w:rPr>
          <w:rFonts w:ascii="Calibri" w:hAnsi="Calibri" w:cs="Calibri"/>
        </w:rPr>
        <w:t>They are, in Aristotle’s terms, practically wise: not just technically skilled, but capable of good judgment in particular situations, oriented toward what is genuinely good for the organization rather than what is convenient for themselves or comfortable for the client.</w:t>
      </w:r>
    </w:p>
    <w:p w14:paraId="17E4327A" w14:textId="77777777" w:rsidR="00553728" w:rsidRPr="007D4A90" w:rsidRDefault="006A090A">
      <w:pPr>
        <w:spacing w:after="200"/>
        <w:rPr>
          <w:rFonts w:ascii="Calibri" w:hAnsi="Calibri" w:cs="Calibri"/>
        </w:rPr>
      </w:pPr>
      <w:r w:rsidRPr="007D4A90">
        <w:rPr>
          <w:rFonts w:ascii="Calibri" w:hAnsi="Calibri" w:cs="Calibri"/>
        </w:rPr>
        <w:t>This is a demanding standard. It is not met by good intentions alone. It is built through practice — through the accumulated experience of choosing honesty over comfort in situation after situation, and through the reflective capacity to notice when the choice was not made cleanly and to understand why.</w:t>
      </w:r>
    </w:p>
    <w:p w14:paraId="28711E15" w14:textId="77777777" w:rsidR="00553728" w:rsidRPr="007D4A90" w:rsidRDefault="006A090A">
      <w:pPr>
        <w:spacing w:after="200"/>
        <w:rPr>
          <w:rFonts w:ascii="Calibri" w:hAnsi="Calibri" w:cs="Calibri"/>
        </w:rPr>
      </w:pPr>
      <w:r w:rsidRPr="007D4A90">
        <w:rPr>
          <w:rFonts w:ascii="Calibri" w:hAnsi="Calibri" w:cs="Calibri"/>
        </w:rPr>
        <w:t>The AFS does not claim to produce this kind of practitioner automatically. No approach can. What it does is make the requirement explicit, build its tools around the assumption that the practitioner will meet it, and render visible — through the Validation Lens, through Reverse Validation, through the honest use of the Fitness Dial — the moments where the requirement is being tested. The approach creates the conditions in which the ethical practitioner can do their best work, and in which the practitioner who falls short of that standard will find the approach progressively harder to use with integrity.</w:t>
      </w:r>
    </w:p>
    <w:p w14:paraId="169BC21B" w14:textId="77777777" w:rsidR="00553728" w:rsidRPr="00D30B7E" w:rsidRDefault="006A090A" w:rsidP="0033203E">
      <w:pPr>
        <w:pStyle w:val="Heading2"/>
        <w:rPr>
          <w:sz w:val="28"/>
          <w:szCs w:val="28"/>
        </w:rPr>
      </w:pPr>
      <w:r w:rsidRPr="00D30B7E">
        <w:rPr>
          <w:sz w:val="28"/>
          <w:szCs w:val="28"/>
        </w:rPr>
        <w:t>The Stakes</w:t>
      </w:r>
    </w:p>
    <w:p w14:paraId="70723B4E" w14:textId="77777777" w:rsidR="00553728" w:rsidRPr="007D4A90" w:rsidRDefault="006A090A">
      <w:pPr>
        <w:spacing w:after="200"/>
        <w:rPr>
          <w:rFonts w:ascii="Calibri" w:hAnsi="Calibri" w:cs="Calibri"/>
        </w:rPr>
      </w:pPr>
      <w:r w:rsidRPr="007D4A90">
        <w:rPr>
          <w:rFonts w:ascii="Calibri" w:hAnsi="Calibri" w:cs="Calibri"/>
        </w:rPr>
        <w:t>Organizational change is not a neutral technical activity. It operates on people’s working lives, their sense of purpose, their livelihoods. The decisions that follow from a practitioner’s assessment — about restructuring, about investment, about what gets stopped and what gets started — affect real people in consequential ways. A practitioner who manages their findings, who provides false certainty, who tells clients what they want to hear, is not just performing poorly. They are participating in decisions that will shape people’s lives on the basis of a distorted picture of reality.</w:t>
      </w:r>
    </w:p>
    <w:p w14:paraId="695A13B3" w14:textId="77777777" w:rsidR="00553728" w:rsidRPr="007D4A90" w:rsidRDefault="006A090A">
      <w:pPr>
        <w:spacing w:after="200"/>
        <w:rPr>
          <w:rFonts w:ascii="Calibri" w:hAnsi="Calibri" w:cs="Calibri"/>
        </w:rPr>
      </w:pPr>
      <w:r w:rsidRPr="007D4A90">
        <w:rPr>
          <w:rFonts w:ascii="Calibri" w:hAnsi="Calibri" w:cs="Calibri"/>
        </w:rPr>
        <w:t>This is the full weight of the ethical obligation. Not just integrity for its own sake. Not just professional standards as an end in themselves. But the recognition that honest practice is what the people inside the organization are owed — people who have no direct access to the practitioner’s unedited judgment and who are, in a meaningful sense, depending on it.</w:t>
      </w:r>
    </w:p>
    <w:p w14:paraId="3FB29750" w14:textId="77777777" w:rsidR="00553728" w:rsidRPr="007D4A90" w:rsidRDefault="006A090A">
      <w:pPr>
        <w:spacing w:after="200"/>
        <w:rPr>
          <w:rFonts w:ascii="Calibri" w:hAnsi="Calibri" w:cs="Calibri"/>
        </w:rPr>
      </w:pPr>
      <w:r w:rsidRPr="007D4A90">
        <w:rPr>
          <w:rFonts w:ascii="Calibri" w:hAnsi="Calibri" w:cs="Calibri"/>
        </w:rPr>
        <w:t>The Adaptive Fitness System is built on the assumption that organizations can become genuinely fitter — more capable, more adaptive, more able to navigate what their situation actually requires. That possibility depends, at every stage, on the practitioner seeing clearly and speaking truly. Honesty is not the ethical garnish on a technical approach. It is the condition that makes the approach possible at all.</w:t>
      </w:r>
    </w:p>
    <w:p w14:paraId="4163B75F" w14:textId="77777777" w:rsidR="00553728" w:rsidRPr="007D4A90" w:rsidRDefault="006A090A">
      <w:pPr>
        <w:spacing w:before="480"/>
        <w:rPr>
          <w:rFonts w:ascii="Calibri" w:hAnsi="Calibri" w:cs="Calibri"/>
        </w:rPr>
      </w:pPr>
      <w:r w:rsidRPr="007D4A90">
        <w:rPr>
          <w:rFonts w:ascii="Calibri" w:hAnsi="Calibri" w:cs="Calibri"/>
          <w:color w:val="666666"/>
          <w:sz w:val="20"/>
          <w:szCs w:val="20"/>
        </w:rPr>
        <w:lastRenderedPageBreak/>
        <w:t>—</w:t>
      </w:r>
    </w:p>
    <w:sectPr w:rsidR="00553728" w:rsidRPr="007D4A9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A5372"/>
    <w:multiLevelType w:val="hybridMultilevel"/>
    <w:tmpl w:val="0A0601C0"/>
    <w:lvl w:ilvl="0" w:tplc="9198F83E">
      <w:start w:val="1"/>
      <w:numFmt w:val="bullet"/>
      <w:lvlText w:val="●"/>
      <w:lvlJc w:val="left"/>
      <w:pPr>
        <w:ind w:left="720" w:hanging="360"/>
      </w:pPr>
    </w:lvl>
    <w:lvl w:ilvl="1" w:tplc="085276AC">
      <w:start w:val="1"/>
      <w:numFmt w:val="bullet"/>
      <w:lvlText w:val="○"/>
      <w:lvlJc w:val="left"/>
      <w:pPr>
        <w:ind w:left="1440" w:hanging="360"/>
      </w:pPr>
    </w:lvl>
    <w:lvl w:ilvl="2" w:tplc="1BDC2816">
      <w:start w:val="1"/>
      <w:numFmt w:val="bullet"/>
      <w:lvlText w:val="■"/>
      <w:lvlJc w:val="left"/>
      <w:pPr>
        <w:ind w:left="2160" w:hanging="360"/>
      </w:pPr>
    </w:lvl>
    <w:lvl w:ilvl="3" w:tplc="36746A50">
      <w:start w:val="1"/>
      <w:numFmt w:val="bullet"/>
      <w:lvlText w:val="●"/>
      <w:lvlJc w:val="left"/>
      <w:pPr>
        <w:ind w:left="2880" w:hanging="360"/>
      </w:pPr>
    </w:lvl>
    <w:lvl w:ilvl="4" w:tplc="E4589D3C">
      <w:start w:val="1"/>
      <w:numFmt w:val="bullet"/>
      <w:lvlText w:val="○"/>
      <w:lvlJc w:val="left"/>
      <w:pPr>
        <w:ind w:left="3600" w:hanging="360"/>
      </w:pPr>
    </w:lvl>
    <w:lvl w:ilvl="5" w:tplc="9A9824C8">
      <w:start w:val="1"/>
      <w:numFmt w:val="bullet"/>
      <w:lvlText w:val="■"/>
      <w:lvlJc w:val="left"/>
      <w:pPr>
        <w:ind w:left="4320" w:hanging="360"/>
      </w:pPr>
    </w:lvl>
    <w:lvl w:ilvl="6" w:tplc="59A690C2">
      <w:start w:val="1"/>
      <w:numFmt w:val="bullet"/>
      <w:lvlText w:val="●"/>
      <w:lvlJc w:val="left"/>
      <w:pPr>
        <w:ind w:left="5040" w:hanging="360"/>
      </w:pPr>
    </w:lvl>
    <w:lvl w:ilvl="7" w:tplc="ED70A558">
      <w:start w:val="1"/>
      <w:numFmt w:val="bullet"/>
      <w:lvlText w:val="●"/>
      <w:lvlJc w:val="left"/>
      <w:pPr>
        <w:ind w:left="5760" w:hanging="360"/>
      </w:pPr>
    </w:lvl>
    <w:lvl w:ilvl="8" w:tplc="9D708234">
      <w:start w:val="1"/>
      <w:numFmt w:val="bullet"/>
      <w:lvlText w:val="●"/>
      <w:lvlJc w:val="left"/>
      <w:pPr>
        <w:ind w:left="6480" w:hanging="360"/>
      </w:pPr>
    </w:lvl>
  </w:abstractNum>
  <w:num w:numId="1" w16cid:durableId="10754673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728"/>
    <w:rsid w:val="00087E36"/>
    <w:rsid w:val="000D3BF3"/>
    <w:rsid w:val="00166775"/>
    <w:rsid w:val="0033203E"/>
    <w:rsid w:val="003A0E5E"/>
    <w:rsid w:val="00553728"/>
    <w:rsid w:val="006A090A"/>
    <w:rsid w:val="00713604"/>
    <w:rsid w:val="007D4A90"/>
    <w:rsid w:val="008405F8"/>
    <w:rsid w:val="00991C4E"/>
    <w:rsid w:val="00A434AE"/>
    <w:rsid w:val="00A52652"/>
    <w:rsid w:val="00D30B7E"/>
    <w:rsid w:val="00E335C3"/>
    <w:rsid w:val="00E61718"/>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B3FE6"/>
  <w15:docId w15:val="{6DF98A0F-F8F5-48DD-803B-43703CB3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CH" w:eastAsia="en-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360" w:after="160"/>
      <w:outlineLvl w:val="1"/>
    </w:pPr>
    <w:rPr>
      <w:rFonts w:ascii="Arial" w:eastAsia="Arial" w:hAnsi="Arial" w:cs="Arial"/>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link w:val="SubtitleChar"/>
    <w:uiPriority w:val="11"/>
    <w:qFormat/>
    <w:rsid w:val="00991C4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91C4E"/>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2359</Words>
  <Characters>13452</Characters>
  <Application>Microsoft Office Word</Application>
  <DocSecurity>0</DocSecurity>
  <Lines>112</Lines>
  <Paragraphs>31</Paragraphs>
  <ScaleCrop>false</ScaleCrop>
  <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Aiello</cp:lastModifiedBy>
  <cp:revision>13</cp:revision>
  <dcterms:created xsi:type="dcterms:W3CDTF">2026-06-15T19:08:00Z</dcterms:created>
  <dcterms:modified xsi:type="dcterms:W3CDTF">2026-06-15T23:34:00Z</dcterms:modified>
</cp:coreProperties>
</file>