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9B70" w14:textId="77777777" w:rsidR="001F0D24" w:rsidRPr="00974B65" w:rsidRDefault="00C324A5" w:rsidP="00974B65">
      <w:pPr>
        <w:pStyle w:val="Title"/>
        <w:jc w:val="center"/>
        <w:rPr>
          <w:rFonts w:asciiTheme="minorHAnsi" w:hAnsiTheme="minorHAnsi"/>
        </w:rPr>
      </w:pPr>
      <w:r w:rsidRPr="00974B65">
        <w:rPr>
          <w:rFonts w:asciiTheme="minorHAnsi" w:hAnsiTheme="minorHAnsi"/>
        </w:rPr>
        <w:t>The Practitioner in the Room</w:t>
      </w:r>
    </w:p>
    <w:p w14:paraId="1D4D0A8E" w14:textId="77777777" w:rsidR="001F0D24" w:rsidRPr="00BF689A" w:rsidRDefault="00C324A5" w:rsidP="00974B65">
      <w:pPr>
        <w:pStyle w:val="Subtitle"/>
        <w:jc w:val="center"/>
      </w:pPr>
      <w:r w:rsidRPr="00BF689A">
        <w:rPr>
          <w:rFonts w:eastAsia="Arial"/>
        </w:rPr>
        <w:t>On the Philosophy of Practice and the Adaptive Fitness System</w:t>
      </w:r>
    </w:p>
    <w:p w14:paraId="2F9AAE85" w14:textId="38D6F8EB" w:rsidR="001F0D24" w:rsidRPr="008752AA" w:rsidRDefault="008752AA" w:rsidP="00974B65">
      <w:pPr>
        <w:spacing w:before="240" w:after="480"/>
        <w:jc w:val="center"/>
        <w:rPr>
          <w:rFonts w:ascii="Calibri" w:eastAsia="Arial" w:hAnsi="Calibri" w:cs="Calibri"/>
          <w:sz w:val="18"/>
          <w:szCs w:val="18"/>
        </w:rPr>
      </w:pPr>
      <w:r w:rsidRPr="008752AA">
        <w:rPr>
          <w:rFonts w:ascii="Calibri" w:eastAsia="Arial" w:hAnsi="Calibri" w:cs="Calibri"/>
          <w:sz w:val="18"/>
          <w:szCs w:val="18"/>
        </w:rPr>
        <w:t xml:space="preserve">By </w:t>
      </w:r>
      <w:r w:rsidR="00C324A5" w:rsidRPr="008752AA">
        <w:rPr>
          <w:rFonts w:ascii="Calibri" w:eastAsia="Arial" w:hAnsi="Calibri" w:cs="Calibri"/>
          <w:sz w:val="18"/>
          <w:szCs w:val="18"/>
        </w:rPr>
        <w:t>Mario Aiello</w:t>
      </w:r>
      <w:r w:rsidRPr="008752AA">
        <w:rPr>
          <w:rFonts w:ascii="Calibri" w:eastAsia="Arial" w:hAnsi="Calibri" w:cs="Calibri"/>
          <w:sz w:val="18"/>
          <w:szCs w:val="18"/>
        </w:rPr>
        <w:t xml:space="preserve"> – Adaptive Ways</w:t>
      </w:r>
    </w:p>
    <w:p w14:paraId="078031F5" w14:textId="5C0949FC" w:rsidR="008752AA" w:rsidRPr="00BF689A" w:rsidRDefault="008752AA" w:rsidP="00BF689A">
      <w:pPr>
        <w:spacing w:before="240" w:after="480"/>
        <w:jc w:val="center"/>
        <w:rPr>
          <w:rFonts w:ascii="Calibri" w:hAnsi="Calibri" w:cs="Calibri"/>
        </w:rPr>
      </w:pPr>
      <w:r w:rsidRPr="00BF689A">
        <w:rPr>
          <w:rFonts w:ascii="Calibri" w:hAnsi="Calibri" w:cs="Calibri"/>
          <w:i/>
          <w:iCs/>
          <w:color w:val="444444"/>
          <w:sz w:val="20"/>
          <w:szCs w:val="20"/>
        </w:rPr>
        <w:t>This essay is the fifth and concluding paper in the Adaptive Fitness System philosophical series.</w:t>
      </w:r>
    </w:p>
    <w:p w14:paraId="5C26025A" w14:textId="77777777" w:rsidR="001F0D24" w:rsidRPr="00FF2E55" w:rsidRDefault="00C324A5" w:rsidP="00BF689A">
      <w:pPr>
        <w:pStyle w:val="Heading2"/>
        <w:spacing w:before="240"/>
        <w:rPr>
          <w:rFonts w:asciiTheme="minorHAnsi" w:hAnsiTheme="minorHAnsi" w:cs="Calibri"/>
          <w:sz w:val="28"/>
          <w:szCs w:val="28"/>
        </w:rPr>
      </w:pPr>
      <w:r w:rsidRPr="00FF2E55">
        <w:rPr>
          <w:rFonts w:asciiTheme="minorHAnsi" w:hAnsiTheme="minorHAnsi" w:cs="Calibri"/>
          <w:sz w:val="28"/>
          <w:szCs w:val="28"/>
        </w:rPr>
        <w:t>The Problem That Method Cannot Solve</w:t>
      </w:r>
    </w:p>
    <w:p w14:paraId="39350EF6" w14:textId="77777777" w:rsidR="001F0D24" w:rsidRPr="00BF689A" w:rsidRDefault="00C324A5" w:rsidP="00BF689A">
      <w:pPr>
        <w:spacing w:before="240" w:after="200"/>
        <w:rPr>
          <w:rFonts w:ascii="Calibri" w:hAnsi="Calibri" w:cs="Calibri"/>
        </w:rPr>
      </w:pPr>
      <w:r w:rsidRPr="00BF689A">
        <w:rPr>
          <w:rFonts w:ascii="Calibri" w:hAnsi="Calibri" w:cs="Calibri"/>
        </w:rPr>
        <w:t>There is a moment that every experienced organizational practitioner knows. You are sitting with a leadership team. The diagnostic work is done. The tools have been applied, the data gathered, the findings organized into a coherent picture. Everything is in order. And yet something in the room is telling you that the picture, however accurate, is not quite the right picture — that there is something present in the way people are sitting, in what is not being said, in the particular quality of the silence after a finding is presented, that the formal analysis has not captured and that no additional data collection would reach.</w:t>
      </w:r>
    </w:p>
    <w:p w14:paraId="438BCC28" w14:textId="77777777" w:rsidR="001F0D24" w:rsidRPr="00BF689A" w:rsidRDefault="00C324A5" w:rsidP="00BF689A">
      <w:pPr>
        <w:spacing w:before="240" w:after="200"/>
        <w:rPr>
          <w:rFonts w:ascii="Calibri" w:hAnsi="Calibri" w:cs="Calibri"/>
        </w:rPr>
      </w:pPr>
      <w:r w:rsidRPr="00BF689A">
        <w:rPr>
          <w:rFonts w:ascii="Calibri" w:hAnsi="Calibri" w:cs="Calibri"/>
        </w:rPr>
        <w:t>What happens in that moment determines whether the engagement produces genuine insight or merely competent reporting. And what happens in that moment cannot be specified in advance by any methodology, because it depends on something the methodology cannot supply: the practitioner’s capacity to be fully present to what is actually occurring, to read it accurately, and to act on that reading with appropriate judgment.</w:t>
      </w:r>
    </w:p>
    <w:p w14:paraId="6523FDBC" w14:textId="77777777" w:rsidR="001F0D24" w:rsidRPr="00BF689A" w:rsidRDefault="00C324A5" w:rsidP="00BF689A">
      <w:pPr>
        <w:spacing w:before="240" w:after="200"/>
        <w:rPr>
          <w:rFonts w:ascii="Calibri" w:hAnsi="Calibri" w:cs="Calibri"/>
        </w:rPr>
      </w:pPr>
      <w:r w:rsidRPr="00BF689A">
        <w:rPr>
          <w:rFonts w:ascii="Calibri" w:hAnsi="Calibri" w:cs="Calibri"/>
        </w:rPr>
        <w:t>This is not a gap in the methodology. It is a structural feature of practice itself. The situations that organizational practitioners encounter are never fully reducible to the categories through which they are approached. They always contain a surplus — of context, of meaning, of human complexity — that exceeds what the formal tools can process. A practitioner who relates to their tools as if they were sufficient — who trusts the output of the methodology over the signal in the room — is not practicing well. They are hiding inside the methodology, using its apparent completeness as a substitute for the judgment that practice actually requires.</w:t>
      </w:r>
    </w:p>
    <w:p w14:paraId="30CA0205" w14:textId="77777777" w:rsidR="001F0D24" w:rsidRPr="00BF689A" w:rsidRDefault="00C324A5" w:rsidP="00BF689A">
      <w:pPr>
        <w:spacing w:before="240" w:after="200"/>
        <w:rPr>
          <w:rFonts w:ascii="Calibri" w:hAnsi="Calibri" w:cs="Calibri"/>
        </w:rPr>
      </w:pPr>
      <w:r w:rsidRPr="00BF689A">
        <w:rPr>
          <w:rFonts w:ascii="Calibri" w:hAnsi="Calibri" w:cs="Calibri"/>
        </w:rPr>
        <w:t>The Adaptive Fitness System is built around a different relationship between tool and practitioner. The tools — the Fitness Dial, the Validation Lens, Adaptive Intelligence, Reverse Validation — are not algorithms that produce answers. They are instruments that structure inquiry. The practitioner is not the operator of the instruments. They are the instrument through which the inquiry is conducted. That distinction is not rhetorical. It has consequences for how practice is understood, how practitioners are developed, and what it means to do this work well.</w:t>
      </w:r>
    </w:p>
    <w:p w14:paraId="50BC42CC" w14:textId="77777777" w:rsidR="001F0D24" w:rsidRPr="00FF2E55" w:rsidRDefault="00C324A5" w:rsidP="00BF689A">
      <w:pPr>
        <w:pStyle w:val="Heading2"/>
        <w:spacing w:before="240"/>
        <w:rPr>
          <w:rFonts w:asciiTheme="minorHAnsi" w:hAnsiTheme="minorHAnsi" w:cs="Calibri"/>
          <w:sz w:val="28"/>
          <w:szCs w:val="28"/>
        </w:rPr>
      </w:pPr>
      <w:r w:rsidRPr="00FF2E55">
        <w:rPr>
          <w:rFonts w:asciiTheme="minorHAnsi" w:hAnsiTheme="minorHAnsi" w:cs="Calibri"/>
          <w:sz w:val="28"/>
          <w:szCs w:val="28"/>
        </w:rPr>
        <w:t>The Limits of Technical Rationality</w:t>
      </w:r>
    </w:p>
    <w:p w14:paraId="615B62CD" w14:textId="77777777" w:rsidR="001F0D24" w:rsidRPr="00BF689A" w:rsidRDefault="00C324A5" w:rsidP="00BF689A">
      <w:pPr>
        <w:spacing w:before="240" w:after="200"/>
        <w:rPr>
          <w:rFonts w:ascii="Calibri" w:hAnsi="Calibri" w:cs="Calibri"/>
        </w:rPr>
      </w:pPr>
      <w:r w:rsidRPr="00BF689A">
        <w:rPr>
          <w:rFonts w:ascii="Calibri" w:hAnsi="Calibri" w:cs="Calibri"/>
        </w:rPr>
        <w:t xml:space="preserve">The dominant model of professional practice is built on what Schön called technical rationality: the idea that practitioners solve problems by applying established theory and technique to the situations they encounter. On this model, the relationship between </w:t>
      </w:r>
      <w:r w:rsidRPr="00BF689A">
        <w:rPr>
          <w:rFonts w:ascii="Calibri" w:hAnsi="Calibri" w:cs="Calibri"/>
        </w:rPr>
        <w:lastRenderedPageBreak/>
        <w:t>knowledge and practice is essentially one of application. You learn the principles, you acquire the methods, you deploy them competently in the field. Expertise is the accumulation of applicable knowledge. Development is the expansion of the repertoire.</w:t>
      </w:r>
    </w:p>
    <w:p w14:paraId="09EA3262" w14:textId="77777777" w:rsidR="001F0D24" w:rsidRPr="00BF689A" w:rsidRDefault="00C324A5" w:rsidP="00BF689A">
      <w:pPr>
        <w:spacing w:before="240" w:after="200"/>
        <w:rPr>
          <w:rFonts w:ascii="Calibri" w:hAnsi="Calibri" w:cs="Calibri"/>
        </w:rPr>
      </w:pPr>
      <w:r w:rsidRPr="00BF689A">
        <w:rPr>
          <w:rFonts w:ascii="Calibri" w:hAnsi="Calibri" w:cs="Calibri"/>
        </w:rPr>
        <w:t>This model has genuine descriptive power in domains where problems are well-formed, where the relevant variables are knowable, and where established techniques reliably produce the intended outcomes. It describes a significant portion of what engineers, accountants, and surgeons do in routine practice. The problem is that it describes almost none of what organizational practitioners do, because the problems they encounter are almost never well-formed to begin with.</w:t>
      </w:r>
    </w:p>
    <w:p w14:paraId="789BA041" w14:textId="77777777" w:rsidR="001F0D24" w:rsidRPr="00BF689A" w:rsidRDefault="00C324A5" w:rsidP="00BF689A">
      <w:pPr>
        <w:spacing w:before="240" w:after="200"/>
        <w:rPr>
          <w:rFonts w:ascii="Calibri" w:hAnsi="Calibri" w:cs="Calibri"/>
        </w:rPr>
      </w:pPr>
      <w:r w:rsidRPr="00BF689A">
        <w:rPr>
          <w:rFonts w:ascii="Calibri" w:hAnsi="Calibri" w:cs="Calibri"/>
        </w:rPr>
        <w:t>Schön called these the swampy lowlands of practice — messy, indeterminate situations that resist the application of established technique precisely because they haven’t yet been defined in terms that technique can address. Before you can apply a method to an organizational situation, you have to decide what kind of situation it is. Before you can diagnose a problem, you have to construct a problem worth diagnosing — which means selecting what to attend to, what to treat as relevant, what to set aside. That constructive activity precedes the application of any tool and cannot itself be performed by a tool. It requires judgment about what matters, formed in the specific situation, drawing on experience that has been internalized well enough to operate beneath the level of conscious deliberation.</w:t>
      </w:r>
    </w:p>
    <w:p w14:paraId="055FE8D5" w14:textId="77777777" w:rsidR="001F0D24" w:rsidRPr="00BF689A" w:rsidRDefault="00C324A5" w:rsidP="00BF689A">
      <w:pPr>
        <w:spacing w:before="240" w:after="200"/>
        <w:rPr>
          <w:rFonts w:ascii="Calibri" w:hAnsi="Calibri" w:cs="Calibri"/>
        </w:rPr>
      </w:pPr>
      <w:r w:rsidRPr="00BF689A">
        <w:rPr>
          <w:rFonts w:ascii="Calibri" w:hAnsi="Calibri" w:cs="Calibri"/>
        </w:rPr>
        <w:t>This is where technical rationality runs out. The higher the ground — the more structured, the more routine, the more amenable to established technique — the more adequate the model. The lower the ground — the more ambiguous, the more contested, the more humanly complex — the less it helps. And organizational change almost always happens in the lowlands.</w:t>
      </w:r>
    </w:p>
    <w:p w14:paraId="4B73F9BC" w14:textId="77777777" w:rsidR="001F0D24" w:rsidRPr="00BF689A" w:rsidRDefault="00C324A5" w:rsidP="00BF689A">
      <w:pPr>
        <w:spacing w:before="240" w:after="200"/>
        <w:rPr>
          <w:rFonts w:ascii="Calibri" w:hAnsi="Calibri" w:cs="Calibri"/>
        </w:rPr>
      </w:pPr>
      <w:r w:rsidRPr="00BF689A">
        <w:rPr>
          <w:rFonts w:ascii="Calibri" w:hAnsi="Calibri" w:cs="Calibri"/>
        </w:rPr>
        <w:t>What practitioners actually do in the lowlands is not apply knowledge. They think on their feet. They improvise within a repertoire. They notice things that don’t fit the expected pattern and adjust their reading of the situation accordingly. They act, observe the consequences, and revise. Schön called this knowing-in-action: a form of knowing that is embedded in the doing itself, that cannot be fully articulated in advance, and that reveals itself most clearly in the practitioner’s capacity to respond intelligently to the unexpected.</w:t>
      </w:r>
    </w:p>
    <w:p w14:paraId="3B4090A4" w14:textId="77777777" w:rsidR="001F0D24" w:rsidRPr="00FF2E55" w:rsidRDefault="00C324A5" w:rsidP="00BF689A">
      <w:pPr>
        <w:pStyle w:val="Heading2"/>
        <w:spacing w:before="240"/>
        <w:rPr>
          <w:rFonts w:asciiTheme="minorHAnsi" w:hAnsiTheme="minorHAnsi" w:cs="Calibri"/>
          <w:sz w:val="28"/>
          <w:szCs w:val="28"/>
        </w:rPr>
      </w:pPr>
      <w:r w:rsidRPr="00FF2E55">
        <w:rPr>
          <w:rFonts w:asciiTheme="minorHAnsi" w:hAnsiTheme="minorHAnsi" w:cs="Calibri"/>
          <w:sz w:val="28"/>
          <w:szCs w:val="28"/>
        </w:rPr>
        <w:t>What Knowing-in-Action Actually Is</w:t>
      </w:r>
    </w:p>
    <w:p w14:paraId="36F9BA45" w14:textId="77777777" w:rsidR="001F0D24" w:rsidRPr="00BF689A" w:rsidRDefault="00C324A5" w:rsidP="00BF689A">
      <w:pPr>
        <w:spacing w:before="240" w:after="200"/>
        <w:rPr>
          <w:rFonts w:ascii="Calibri" w:hAnsi="Calibri" w:cs="Calibri"/>
        </w:rPr>
      </w:pPr>
      <w:r w:rsidRPr="00BF689A">
        <w:rPr>
          <w:rFonts w:ascii="Calibri" w:hAnsi="Calibri" w:cs="Calibri"/>
        </w:rPr>
        <w:t>Knowing-in-action is not intuition in the pejorative sense — not the absence of rigor, not mere gut feeling dressed as expertise. It is the product of experience that has been sufficiently processed to become available without deliberate retrieval. Polanyi called it tacit knowledge: the dimension of knowing that exceeds what can be explicitly stated, that is carried in the body and in trained perception rather than in propositions.</w:t>
      </w:r>
    </w:p>
    <w:p w14:paraId="256BC8FA" w14:textId="77777777" w:rsidR="001F0D24" w:rsidRPr="00BF689A" w:rsidRDefault="00C324A5" w:rsidP="00BF689A">
      <w:pPr>
        <w:spacing w:before="240" w:after="200"/>
        <w:rPr>
          <w:rFonts w:ascii="Calibri" w:hAnsi="Calibri" w:cs="Calibri"/>
        </w:rPr>
      </w:pPr>
      <w:r w:rsidRPr="00BF689A">
        <w:rPr>
          <w:rFonts w:ascii="Calibri" w:hAnsi="Calibri" w:cs="Calibri"/>
        </w:rPr>
        <w:t xml:space="preserve">The example Polanyi used was riding a bicycle. The cyclist knows how to maintain balance through a continuous series of micro-adjustments that respond to feedback too fast and too complex to be consciously processed. Ask them to describe what they are doing and they cannot give you a complete account — not because they lack introspective access, but </w:t>
      </w:r>
      <w:r w:rsidRPr="00BF689A">
        <w:rPr>
          <w:rFonts w:ascii="Calibri" w:hAnsi="Calibri" w:cs="Calibri"/>
        </w:rPr>
        <w:lastRenderedPageBreak/>
        <w:t>because the knowing is not stored in a form that verbal description can reach. It lives in the doing.</w:t>
      </w:r>
    </w:p>
    <w:p w14:paraId="3309E57B" w14:textId="77777777" w:rsidR="001F0D24" w:rsidRPr="00BF689A" w:rsidRDefault="00C324A5" w:rsidP="00BF689A">
      <w:pPr>
        <w:spacing w:before="240" w:after="200"/>
        <w:rPr>
          <w:rFonts w:ascii="Calibri" w:hAnsi="Calibri" w:cs="Calibri"/>
        </w:rPr>
      </w:pPr>
      <w:r w:rsidRPr="00BF689A">
        <w:rPr>
          <w:rFonts w:ascii="Calibri" w:hAnsi="Calibri" w:cs="Calibri"/>
        </w:rPr>
        <w:t>Organizational practitioners develop analogous forms of tacit knowledge through accumulated experience. The capacity to read a room — to register the quality of engagement, the distribution of energy, the subtle signals of alignment or resistance — is not something that can be learned from a textbook or acquired through a certification program. It is built through repeated exposure to situations, through the slow accumulation of pattern recognition that eventually makes certain features of organizational life legible in ways they were not before.</w:t>
      </w:r>
    </w:p>
    <w:p w14:paraId="1DB55E2D" w14:textId="77777777" w:rsidR="001F0D24" w:rsidRPr="00BF689A" w:rsidRDefault="00C324A5" w:rsidP="00BF689A">
      <w:pPr>
        <w:spacing w:before="240" w:after="200"/>
        <w:rPr>
          <w:rFonts w:ascii="Calibri" w:hAnsi="Calibri" w:cs="Calibri"/>
        </w:rPr>
      </w:pPr>
      <w:r w:rsidRPr="00BF689A">
        <w:rPr>
          <w:rFonts w:ascii="Calibri" w:hAnsi="Calibri" w:cs="Calibri"/>
        </w:rPr>
        <w:t>This has an important implication for how practitioner development is understood. If a significant portion of what makes practice competent is tacit — carried in trained perception rather than in explicit knowledge — then development cannot be reduced to the transmission of frameworks and methods. It requires something closer to apprenticeship: extended exposure to practice, under conditions that allow the developing practitioner to register not just what experienced practitioners do but how they see, what they notice, how they read situations that resist easy categorization.</w:t>
      </w:r>
    </w:p>
    <w:p w14:paraId="51EAAA8E" w14:textId="77777777" w:rsidR="001F0D24" w:rsidRPr="00BF689A" w:rsidRDefault="00C324A5" w:rsidP="00BF689A">
      <w:pPr>
        <w:spacing w:before="240" w:after="200"/>
        <w:rPr>
          <w:rFonts w:ascii="Calibri" w:hAnsi="Calibri" w:cs="Calibri"/>
        </w:rPr>
      </w:pPr>
      <w:r w:rsidRPr="00BF689A">
        <w:rPr>
          <w:rFonts w:ascii="Calibri" w:hAnsi="Calibri" w:cs="Calibri"/>
        </w:rPr>
        <w:t>The AFS judgment essay argued that practitioner judgment cannot be packaged — that the approach is a structural choice rather than a limitation. The philosophy of practice grounds that claim more deeply. Judgment cannot be packaged because a significant portion of what judgment draws on is tacit, and tacit knowledge does not transfer through packaging. It transfers through practice, through reflection on practice, and through the kind of guided experience that allows tacit knowledge to develop in the right direction rather than simply accumulating unreflectively.</w:t>
      </w:r>
    </w:p>
    <w:p w14:paraId="329DEAFE" w14:textId="77777777" w:rsidR="001F0D24" w:rsidRPr="00FF2E55" w:rsidRDefault="00C324A5" w:rsidP="00BF689A">
      <w:pPr>
        <w:pStyle w:val="Heading2"/>
        <w:spacing w:before="240"/>
        <w:rPr>
          <w:rFonts w:asciiTheme="minorHAnsi" w:hAnsiTheme="minorHAnsi" w:cs="Calibri"/>
          <w:sz w:val="28"/>
          <w:szCs w:val="28"/>
        </w:rPr>
      </w:pPr>
      <w:r w:rsidRPr="00FF2E55">
        <w:rPr>
          <w:rFonts w:asciiTheme="minorHAnsi" w:hAnsiTheme="minorHAnsi" w:cs="Calibri"/>
          <w:sz w:val="28"/>
          <w:szCs w:val="28"/>
        </w:rPr>
        <w:t>Reflection and the Practitioner Who Learns</w:t>
      </w:r>
    </w:p>
    <w:p w14:paraId="6F4CF134" w14:textId="77777777" w:rsidR="001F0D24" w:rsidRPr="00BF689A" w:rsidRDefault="00C324A5" w:rsidP="00BF689A">
      <w:pPr>
        <w:spacing w:before="240" w:after="200"/>
        <w:rPr>
          <w:rFonts w:ascii="Calibri" w:hAnsi="Calibri" w:cs="Calibri"/>
        </w:rPr>
      </w:pPr>
      <w:r w:rsidRPr="00BF689A">
        <w:rPr>
          <w:rFonts w:ascii="Calibri" w:hAnsi="Calibri" w:cs="Calibri"/>
        </w:rPr>
        <w:t>Tacit knowledge accumulated without reflection is not wisdom. It is habit — which may be adaptive or maladaptive, accurate or distorted, depending on whether the experience from which it was built was processed honestly or defensively. The practitioner who has spent twenty years managing client relationships by softening findings has accumulated twenty years of practice in epistemic compromise. Their tacit knowledge is extensive and deeply embedded. It is also systematically unreliable.</w:t>
      </w:r>
    </w:p>
    <w:p w14:paraId="75CE5D69" w14:textId="77777777" w:rsidR="001F0D24" w:rsidRPr="00BF689A" w:rsidRDefault="00C324A5" w:rsidP="00BF689A">
      <w:pPr>
        <w:spacing w:before="240" w:after="200"/>
        <w:rPr>
          <w:rFonts w:ascii="Calibri" w:hAnsi="Calibri" w:cs="Calibri"/>
        </w:rPr>
      </w:pPr>
      <w:r w:rsidRPr="00BF689A">
        <w:rPr>
          <w:rFonts w:ascii="Calibri" w:hAnsi="Calibri" w:cs="Calibri"/>
        </w:rPr>
        <w:t>This is why Schön’s second concept — reflection-in-action — is as important as knowing-in-action. Reflection-in-action is the practitioner’s capacity to think about what they are doing while they are doing it: to notice when something unexpected is happening, to interrogate their own framing of the situation, to experiment with a different approach and observe what changes. It is not the same as stopping to think. It happens in the flow of practice, at the speed that practice requires, and it is what allows the practitioner to learn from each situation rather than merely executing a pre-formed response.</w:t>
      </w:r>
    </w:p>
    <w:p w14:paraId="08E2795D" w14:textId="77777777" w:rsidR="001F0D24" w:rsidRPr="00BF689A" w:rsidRDefault="00C324A5" w:rsidP="00BF689A">
      <w:pPr>
        <w:spacing w:before="240" w:after="200"/>
        <w:rPr>
          <w:rFonts w:ascii="Calibri" w:hAnsi="Calibri" w:cs="Calibri"/>
        </w:rPr>
      </w:pPr>
      <w:r w:rsidRPr="00BF689A">
        <w:rPr>
          <w:rFonts w:ascii="Calibri" w:hAnsi="Calibri" w:cs="Calibri"/>
        </w:rPr>
        <w:t xml:space="preserve">What distinguishes the practitioner who develops over time from the one who merely accumulates experience is precisely this reflective capacity. Both are exposed to situations. Both build tacit knowledge. But the reflective practitioner is continuously checking their readings against outcomes, noticing discrepancies, revising their understanding of what is </w:t>
      </w:r>
      <w:r w:rsidRPr="00BF689A">
        <w:rPr>
          <w:rFonts w:ascii="Calibri" w:hAnsi="Calibri" w:cs="Calibri"/>
        </w:rPr>
        <w:lastRenderedPageBreak/>
        <w:t>happening and why. Their tacit knowledge is progressively refined. The unreflective practitioner’s tacit knowledge hardens into fixed patterns that are applied regardless of whether they fit.</w:t>
      </w:r>
    </w:p>
    <w:p w14:paraId="73568DC5" w14:textId="77777777" w:rsidR="001F0D24" w:rsidRPr="00BF689A" w:rsidRDefault="00C324A5" w:rsidP="00BF689A">
      <w:pPr>
        <w:spacing w:before="240" w:after="200"/>
        <w:rPr>
          <w:rFonts w:ascii="Calibri" w:hAnsi="Calibri" w:cs="Calibri"/>
        </w:rPr>
      </w:pPr>
      <w:r w:rsidRPr="00BF689A">
        <w:rPr>
          <w:rFonts w:ascii="Calibri" w:hAnsi="Calibri" w:cs="Calibri"/>
        </w:rPr>
        <w:t xml:space="preserve">The organizational implication runs deeper than individual development. An organization populated by unreflective practitioners — however technically skilled — cannot develop Adaptive Intelligence, because Adaptive Intelligence at the organizational level requires the same reflective capacity that characterizes the individual practitioner who learns. The organization has to be able to notice when its current reading of the situation no longer holds, to interrogate the frameworks through which it has been operating, to revise its understanding in light of what outcomes are actually revealing. That capacity does not emerge spontaneously. It is built, in part, through the </w:t>
      </w:r>
      <w:proofErr w:type="spellStart"/>
      <w:r w:rsidRPr="00BF689A">
        <w:rPr>
          <w:rFonts w:ascii="Calibri" w:hAnsi="Calibri" w:cs="Calibri"/>
        </w:rPr>
        <w:t>modeling</w:t>
      </w:r>
      <w:proofErr w:type="spellEnd"/>
      <w:r w:rsidRPr="00BF689A">
        <w:rPr>
          <w:rFonts w:ascii="Calibri" w:hAnsi="Calibri" w:cs="Calibri"/>
        </w:rPr>
        <w:t xml:space="preserve"> of reflective practice by the practitioners who work with the organization.</w:t>
      </w:r>
    </w:p>
    <w:p w14:paraId="5A89A61E" w14:textId="77777777" w:rsidR="001F0D24" w:rsidRPr="00FF2E55" w:rsidRDefault="00C324A5" w:rsidP="00BF689A">
      <w:pPr>
        <w:pStyle w:val="Heading2"/>
        <w:spacing w:before="240"/>
        <w:rPr>
          <w:rFonts w:asciiTheme="minorHAnsi" w:hAnsiTheme="minorHAnsi" w:cs="Calibri"/>
          <w:sz w:val="28"/>
          <w:szCs w:val="28"/>
        </w:rPr>
      </w:pPr>
      <w:r w:rsidRPr="00FF2E55">
        <w:rPr>
          <w:rFonts w:asciiTheme="minorHAnsi" w:hAnsiTheme="minorHAnsi" w:cs="Calibri"/>
          <w:sz w:val="28"/>
          <w:szCs w:val="28"/>
        </w:rPr>
        <w:t>The Practitioner as Inquiry</w:t>
      </w:r>
    </w:p>
    <w:p w14:paraId="6DB6A7EF" w14:textId="77777777" w:rsidR="001F0D24" w:rsidRPr="00BF689A" w:rsidRDefault="00C324A5" w:rsidP="00BF689A">
      <w:pPr>
        <w:spacing w:before="240" w:after="200"/>
        <w:rPr>
          <w:rFonts w:ascii="Calibri" w:hAnsi="Calibri" w:cs="Calibri"/>
        </w:rPr>
      </w:pPr>
      <w:r w:rsidRPr="00BF689A">
        <w:rPr>
          <w:rFonts w:ascii="Calibri" w:hAnsi="Calibri" w:cs="Calibri"/>
        </w:rPr>
        <w:t>Drawing these threads together produces a picture of practice that is fundamentally different from the application model.</w:t>
      </w:r>
    </w:p>
    <w:p w14:paraId="13557044" w14:textId="77777777" w:rsidR="001F0D24" w:rsidRPr="00BF689A" w:rsidRDefault="00C324A5" w:rsidP="00BF689A">
      <w:pPr>
        <w:spacing w:before="240" w:after="200"/>
        <w:rPr>
          <w:rFonts w:ascii="Calibri" w:hAnsi="Calibri" w:cs="Calibri"/>
        </w:rPr>
      </w:pPr>
      <w:r w:rsidRPr="00BF689A">
        <w:rPr>
          <w:rFonts w:ascii="Calibri" w:hAnsi="Calibri" w:cs="Calibri"/>
        </w:rPr>
        <w:t>Practice, in this account, is not the deployment of pre-formed knowledge into situations that need it. It is a form of inquiry — an ongoing process of reading, hypothesizing, acting, observing, and revising that generates knowledge in the doing rather than applying knowledge formed elsewhere. The practitioner is not a conduit between established theory and organizational reality. They are the site where theory and reality meet, and where the adequacy of each to the other is continuously tested.</w:t>
      </w:r>
    </w:p>
    <w:p w14:paraId="4FC09EAB" w14:textId="77777777" w:rsidR="001F0D24" w:rsidRPr="00BF689A" w:rsidRDefault="00C324A5" w:rsidP="00BF689A">
      <w:pPr>
        <w:spacing w:before="240" w:after="200"/>
        <w:rPr>
          <w:rFonts w:ascii="Calibri" w:hAnsi="Calibri" w:cs="Calibri"/>
        </w:rPr>
      </w:pPr>
      <w:r w:rsidRPr="00BF689A">
        <w:rPr>
          <w:rFonts w:ascii="Calibri" w:hAnsi="Calibri" w:cs="Calibri"/>
        </w:rPr>
        <w:t>This is Dewey’s account of inquiry made concrete in professional practice. Inquiry, for Dewey, is not a special activity that precedes action. It is the structure of intelligent action itself — the pattern by which organisms, including human practitioners, navigate situations that are genuinely uncertain. The practitioner who is inquiring is not pausing to think before acting. They are acting in a way that is simultaneously responsive to the situation and reflective about the response. Action and inquiry are not sequential. They are integrated.</w:t>
      </w:r>
    </w:p>
    <w:p w14:paraId="2B93E847" w14:textId="77777777" w:rsidR="001F0D24" w:rsidRPr="00BF689A" w:rsidRDefault="00C324A5" w:rsidP="00BF689A">
      <w:pPr>
        <w:spacing w:before="240" w:after="200"/>
        <w:rPr>
          <w:rFonts w:ascii="Calibri" w:hAnsi="Calibri" w:cs="Calibri"/>
        </w:rPr>
      </w:pPr>
      <w:r w:rsidRPr="00BF689A">
        <w:rPr>
          <w:rFonts w:ascii="Calibri" w:hAnsi="Calibri" w:cs="Calibri"/>
        </w:rPr>
        <w:t>The Adaptive Fitness System’s tools are designed for this kind of practice. The Fitness Dial does not produce a diagnosis. It structures an inquiry into organizational fitness that the practitioner conducts in real time, with real people, in a specific situation that will never be exactly like any other. The Validation Lens does not produce a verdict. It sustains an ongoing interrogation of whether the current understanding holds — which requires a practitioner who is genuinely open to what the interrogation might reveal. Reverse Validation does not audit a completed process. It invites the practitioner and the organization into a shared inquiry about what actually happened and what it means.</w:t>
      </w:r>
    </w:p>
    <w:p w14:paraId="6442C3AF" w14:textId="77777777" w:rsidR="001F0D24" w:rsidRPr="00BF689A" w:rsidRDefault="00C324A5" w:rsidP="00BF689A">
      <w:pPr>
        <w:spacing w:before="240" w:after="200"/>
        <w:rPr>
          <w:rFonts w:ascii="Calibri" w:hAnsi="Calibri" w:cs="Calibri"/>
        </w:rPr>
      </w:pPr>
      <w:r w:rsidRPr="00BF689A">
        <w:rPr>
          <w:rFonts w:ascii="Calibri" w:hAnsi="Calibri" w:cs="Calibri"/>
        </w:rPr>
        <w:t>These tools only function as intended in the hands of a practitioner who understands practice as inquiry. In the hands of a practitioner who understands practice as application, they become something different — structured processes that produce outputs, checkboxes that confirm prior assumptions, reports that document activity without genuinely testing it. The tool is the same. What it does depends entirely on the practitioner’s relationship to their own practice.</w:t>
      </w:r>
    </w:p>
    <w:p w14:paraId="7059ECE2" w14:textId="77777777" w:rsidR="001F0D24" w:rsidRPr="00FF2E55" w:rsidRDefault="00C324A5" w:rsidP="00BF689A">
      <w:pPr>
        <w:pStyle w:val="Heading2"/>
        <w:spacing w:before="240"/>
        <w:rPr>
          <w:rFonts w:asciiTheme="minorHAnsi" w:hAnsiTheme="minorHAnsi" w:cs="Calibri"/>
          <w:sz w:val="28"/>
          <w:szCs w:val="28"/>
        </w:rPr>
      </w:pPr>
      <w:r w:rsidRPr="00FF2E55">
        <w:rPr>
          <w:rFonts w:asciiTheme="minorHAnsi" w:hAnsiTheme="minorHAnsi" w:cs="Calibri"/>
          <w:sz w:val="28"/>
          <w:szCs w:val="28"/>
        </w:rPr>
        <w:lastRenderedPageBreak/>
        <w:t>Formation, Not Training</w:t>
      </w:r>
    </w:p>
    <w:p w14:paraId="44E191E9" w14:textId="77777777" w:rsidR="001F0D24" w:rsidRPr="00BF689A" w:rsidRDefault="00C324A5" w:rsidP="00BF689A">
      <w:pPr>
        <w:spacing w:before="240" w:after="200"/>
        <w:rPr>
          <w:rFonts w:ascii="Calibri" w:hAnsi="Calibri" w:cs="Calibri"/>
        </w:rPr>
      </w:pPr>
      <w:r w:rsidRPr="00BF689A">
        <w:rPr>
          <w:rFonts w:ascii="Calibri" w:hAnsi="Calibri" w:cs="Calibri"/>
        </w:rPr>
        <w:t>If practice is inquiry, and if inquiry requires the integration of tacit knowledge, reflective capacity, intellectual honesty, and practical wisdom, then the development of practitioners cannot be adequately described as training. Training transmits skills and knowledge. What practice requires goes beyond skills and knowledge — it requires the formation of a certain kind of practitioner, in the full sense that formation implies: the shaping of perception, judgment, character, and the habits of mind that govern how situations are read and responded to.</w:t>
      </w:r>
    </w:p>
    <w:p w14:paraId="1CA78292" w14:textId="77777777" w:rsidR="001F0D24" w:rsidRPr="00BF689A" w:rsidRDefault="00C324A5" w:rsidP="00BF689A">
      <w:pPr>
        <w:spacing w:before="240" w:after="200"/>
        <w:rPr>
          <w:rFonts w:ascii="Calibri" w:hAnsi="Calibri" w:cs="Calibri"/>
        </w:rPr>
      </w:pPr>
      <w:r w:rsidRPr="00BF689A">
        <w:rPr>
          <w:rFonts w:ascii="Calibri" w:hAnsi="Calibri" w:cs="Calibri"/>
        </w:rPr>
        <w:t>Formation takes time. It cannot be compressed into a program or accelerated through a certification. It requires repeated exposure to the full complexity of practice, under conditions that support honest reflection rather than defensive self-protection. It requires mentors or interlocutors who model not just what to do but how to see — who make their own reasoning visible in ways that allow the developing practitioner to internalize not just conclusions but the process by which conclusions are reached.</w:t>
      </w:r>
    </w:p>
    <w:p w14:paraId="6148D63B" w14:textId="77777777" w:rsidR="001F0D24" w:rsidRPr="00BF689A" w:rsidRDefault="00C324A5" w:rsidP="00BF689A">
      <w:pPr>
        <w:spacing w:before="240" w:after="200"/>
        <w:rPr>
          <w:rFonts w:ascii="Calibri" w:hAnsi="Calibri" w:cs="Calibri"/>
        </w:rPr>
      </w:pPr>
      <w:r w:rsidRPr="00BF689A">
        <w:rPr>
          <w:rFonts w:ascii="Calibri" w:hAnsi="Calibri" w:cs="Calibri"/>
        </w:rPr>
        <w:t>It also requires what might be called productive failure — encounters with situations where the practitioner’s current understanding proves inadequate, where the tools don’t produce the expected result, where the reading of the situation turns out to have been wrong. These are the moments of maximum developmental potential, because they create the conditions under which tacit knowledge can be revised rather than merely reinforced. A practitioner who is protected from failure, or who consistently explains failure in ways that leave their existing understanding intact, is not developing. They are consolidating a fixed repertoire that will become progressively less adequate as the situations they encounter grow more complex.</w:t>
      </w:r>
    </w:p>
    <w:p w14:paraId="424F824E" w14:textId="77777777" w:rsidR="001F0D24" w:rsidRPr="00BF689A" w:rsidRDefault="00C324A5" w:rsidP="00BF689A">
      <w:pPr>
        <w:spacing w:before="240" w:after="200"/>
        <w:rPr>
          <w:rFonts w:ascii="Calibri" w:hAnsi="Calibri" w:cs="Calibri"/>
        </w:rPr>
      </w:pPr>
      <w:r w:rsidRPr="00BF689A">
        <w:rPr>
          <w:rFonts w:ascii="Calibri" w:hAnsi="Calibri" w:cs="Calibri"/>
        </w:rPr>
        <w:t>The AFS does not specify a formation program, and it would be inconsistent with its own philosophical commitments to do so. Formation is irreducibly particular — it happens differently for different practitioners, in different contexts, through different experiences. What the AFS does is make explicit the kind of practitioner that the approach requires, which is itself a contribution to formation: knowing what you are trying to become is a condition for being able to move toward it.</w:t>
      </w:r>
    </w:p>
    <w:p w14:paraId="7F46C140" w14:textId="77777777" w:rsidR="001F0D24" w:rsidRPr="009D0CB1" w:rsidRDefault="00C324A5" w:rsidP="00BF689A">
      <w:pPr>
        <w:pStyle w:val="Heading2"/>
        <w:spacing w:before="240"/>
        <w:rPr>
          <w:rFonts w:asciiTheme="minorHAnsi" w:hAnsiTheme="minorHAnsi" w:cs="Calibri"/>
          <w:sz w:val="28"/>
          <w:szCs w:val="28"/>
        </w:rPr>
      </w:pPr>
      <w:r w:rsidRPr="009D0CB1">
        <w:rPr>
          <w:rFonts w:asciiTheme="minorHAnsi" w:hAnsiTheme="minorHAnsi" w:cs="Calibri"/>
          <w:sz w:val="28"/>
          <w:szCs w:val="28"/>
        </w:rPr>
        <w:t>Where the Philosophical Series Converges</w:t>
      </w:r>
    </w:p>
    <w:p w14:paraId="5870A910" w14:textId="77777777" w:rsidR="001F0D24" w:rsidRPr="00BF689A" w:rsidRDefault="00C324A5" w:rsidP="00BF689A">
      <w:pPr>
        <w:spacing w:before="240" w:after="200"/>
        <w:rPr>
          <w:rFonts w:ascii="Calibri" w:hAnsi="Calibri" w:cs="Calibri"/>
        </w:rPr>
      </w:pPr>
      <w:r w:rsidRPr="00BF689A">
        <w:rPr>
          <w:rFonts w:ascii="Calibri" w:hAnsi="Calibri" w:cs="Calibri"/>
        </w:rPr>
        <w:t>This paper is the fifth in a series, and it is worth being explicit about what converges here.</w:t>
      </w:r>
    </w:p>
    <w:p w14:paraId="7512AB8B" w14:textId="77777777" w:rsidR="001F0D24" w:rsidRPr="00BF689A" w:rsidRDefault="00C324A5" w:rsidP="00BF689A">
      <w:pPr>
        <w:spacing w:before="240" w:after="200"/>
        <w:rPr>
          <w:rFonts w:ascii="Calibri" w:hAnsi="Calibri" w:cs="Calibri"/>
        </w:rPr>
      </w:pPr>
      <w:r w:rsidRPr="00BF689A">
        <w:rPr>
          <w:rFonts w:ascii="Calibri" w:hAnsi="Calibri" w:cs="Calibri"/>
        </w:rPr>
        <w:t>The ontology paper established that organizations are living social formations constituted by interaction, temporal depth, and interpretive activity. The practitioner who works with organizations is not working with a mechanical system that can be diagnosed from outside. They are entering a field of meaning that their presence immediately affects, and that will affect them in return. Practice is always already relational, always already situated, never fully separable from the practitioner who is conducting it.</w:t>
      </w:r>
    </w:p>
    <w:p w14:paraId="684BE071" w14:textId="77777777" w:rsidR="001F0D24" w:rsidRPr="00BF689A" w:rsidRDefault="00C324A5" w:rsidP="00BF689A">
      <w:pPr>
        <w:spacing w:before="240" w:after="200"/>
        <w:rPr>
          <w:rFonts w:ascii="Calibri" w:hAnsi="Calibri" w:cs="Calibri"/>
        </w:rPr>
      </w:pPr>
      <w:r w:rsidRPr="00BF689A">
        <w:rPr>
          <w:rFonts w:ascii="Calibri" w:hAnsi="Calibri" w:cs="Calibri"/>
        </w:rPr>
        <w:t xml:space="preserve">The epistemology paper established that the kind of knowing organizational adaptation requires is not theoretical but practical — grounded in inquiry, validated through outcomes, held with appropriate tentativeness and revised as evidence accumulates. The practitioner </w:t>
      </w:r>
      <w:r w:rsidRPr="00BF689A">
        <w:rPr>
          <w:rFonts w:ascii="Calibri" w:hAnsi="Calibri" w:cs="Calibri"/>
        </w:rPr>
        <w:lastRenderedPageBreak/>
        <w:t>who embodies this epistemology is not certain. They are disciplined: rigorous in their inquiry, honest about their uncertainty, genuinely open to revision.</w:t>
      </w:r>
    </w:p>
    <w:p w14:paraId="41EE2D16" w14:textId="77777777" w:rsidR="001F0D24" w:rsidRPr="00BF689A" w:rsidRDefault="00C324A5" w:rsidP="00BF689A">
      <w:pPr>
        <w:spacing w:before="240" w:after="200"/>
        <w:rPr>
          <w:rFonts w:ascii="Calibri" w:hAnsi="Calibri" w:cs="Calibri"/>
        </w:rPr>
      </w:pPr>
      <w:r w:rsidRPr="00BF689A">
        <w:rPr>
          <w:rFonts w:ascii="Calibri" w:hAnsi="Calibri" w:cs="Calibri"/>
        </w:rPr>
        <w:t>The causality paper established that organizational phenomena operate under multiple causal logics simultaneously, and that the practitioner’s job is to read which logic is operating in a given domain and respond accordingly. This requires precisely the kind of perceptual sophistication — the trained, tacit capacity to recognize what kind of situation one is in — that the philosophy of practice identifies as the product of reflective experience.</w:t>
      </w:r>
    </w:p>
    <w:p w14:paraId="69447D41" w14:textId="77777777" w:rsidR="001F0D24" w:rsidRPr="00BF689A" w:rsidRDefault="00C324A5" w:rsidP="00BF689A">
      <w:pPr>
        <w:spacing w:before="240" w:after="200"/>
        <w:rPr>
          <w:rFonts w:ascii="Calibri" w:hAnsi="Calibri" w:cs="Calibri"/>
        </w:rPr>
      </w:pPr>
      <w:r w:rsidRPr="00BF689A">
        <w:rPr>
          <w:rFonts w:ascii="Calibri" w:hAnsi="Calibri" w:cs="Calibri"/>
        </w:rPr>
        <w:t>The ethics paper established that honesty is not a professional virtue layered on top of practice but a constitutive condition of it — that the practitioner who manages their findings has corrupted not just their ethics but their competence. The philosophy of practice grounds this claim in the structure of practice itself: a practitioner who is not genuinely inquiring is not practicing in the full sense, regardless of how technically proficient their outputs appear.</w:t>
      </w:r>
    </w:p>
    <w:p w14:paraId="038625C5" w14:textId="77777777" w:rsidR="001F0D24" w:rsidRPr="00BF689A" w:rsidRDefault="00C324A5" w:rsidP="00BF689A">
      <w:pPr>
        <w:spacing w:before="240" w:after="200"/>
        <w:rPr>
          <w:rFonts w:ascii="Calibri" w:hAnsi="Calibri" w:cs="Calibri"/>
        </w:rPr>
      </w:pPr>
      <w:r w:rsidRPr="00BF689A">
        <w:rPr>
          <w:rFonts w:ascii="Calibri" w:hAnsi="Calibri" w:cs="Calibri"/>
        </w:rPr>
        <w:t>What emerges from this convergence is a portrait of practice that is demanding, irreducibly personal, and impossible to fully systematize — which is exactly what the AFS has always claimed. The approach does not work by telling practitioners what to do. It works by providing instruments that structure inquiry, and by making explicit the philosophical commitments that govern how those instruments should be used. The practitioner who understands those commitments — who has internalized them deeply enough that they shape perception and judgment rather than just behavior — is the practitioner the approach is designed for.</w:t>
      </w:r>
    </w:p>
    <w:p w14:paraId="4C63B368" w14:textId="77777777" w:rsidR="001F0D24" w:rsidRPr="009D0CB1" w:rsidRDefault="00C324A5" w:rsidP="00BF689A">
      <w:pPr>
        <w:pStyle w:val="Heading2"/>
        <w:spacing w:before="240"/>
        <w:rPr>
          <w:rFonts w:asciiTheme="minorHAnsi" w:hAnsiTheme="minorHAnsi" w:cs="Calibri"/>
          <w:sz w:val="28"/>
          <w:szCs w:val="28"/>
        </w:rPr>
      </w:pPr>
      <w:r w:rsidRPr="009D0CB1">
        <w:rPr>
          <w:rFonts w:asciiTheme="minorHAnsi" w:hAnsiTheme="minorHAnsi" w:cs="Calibri"/>
          <w:sz w:val="28"/>
          <w:szCs w:val="28"/>
        </w:rPr>
        <w:t>Practice as the Point</w:t>
      </w:r>
    </w:p>
    <w:p w14:paraId="27E68981" w14:textId="77777777" w:rsidR="001F0D24" w:rsidRPr="00BF689A" w:rsidRDefault="00C324A5" w:rsidP="00BF689A">
      <w:pPr>
        <w:spacing w:before="240" w:after="200"/>
        <w:rPr>
          <w:rFonts w:ascii="Calibri" w:hAnsi="Calibri" w:cs="Calibri"/>
        </w:rPr>
      </w:pPr>
      <w:r w:rsidRPr="00BF689A">
        <w:rPr>
          <w:rFonts w:ascii="Calibri" w:hAnsi="Calibri" w:cs="Calibri"/>
        </w:rPr>
        <w:t>There is a temptation, in a philosophical series of this kind, to treat the papers as ends in themselves — as contributions to organizational theory that stand independently of any particular practice. That temptation should be resisted.</w:t>
      </w:r>
    </w:p>
    <w:p w14:paraId="5235E2D8" w14:textId="77777777" w:rsidR="001F0D24" w:rsidRPr="00BF689A" w:rsidRDefault="00C324A5" w:rsidP="00BF689A">
      <w:pPr>
        <w:spacing w:before="240" w:after="200"/>
        <w:rPr>
          <w:rFonts w:ascii="Calibri" w:hAnsi="Calibri" w:cs="Calibri"/>
        </w:rPr>
      </w:pPr>
      <w:r w:rsidRPr="00BF689A">
        <w:rPr>
          <w:rFonts w:ascii="Calibri" w:hAnsi="Calibri" w:cs="Calibri"/>
        </w:rPr>
        <w:t>The ontology paper matters because practitioners who misunderstand what organizations are will design interventions that miss. The epistemology paper matters because practitioners who misunderstand how organizational knowledge works will draw conclusions that don’t hold. The causality paper matters because practitioners who apply the wrong causal logic to a given domain will produce confidently wrong answers. The ethics paper matters because practitioners who compromise the integrity of their inquiry will corrupt everything that depends on it.</w:t>
      </w:r>
    </w:p>
    <w:p w14:paraId="784C4F28" w14:textId="77777777" w:rsidR="001F0D24" w:rsidRPr="00BF689A" w:rsidRDefault="00C324A5" w:rsidP="00BF689A">
      <w:pPr>
        <w:spacing w:before="240" w:after="200"/>
        <w:rPr>
          <w:rFonts w:ascii="Calibri" w:hAnsi="Calibri" w:cs="Calibri"/>
        </w:rPr>
      </w:pPr>
      <w:r w:rsidRPr="00BF689A">
        <w:rPr>
          <w:rFonts w:ascii="Calibri" w:hAnsi="Calibri" w:cs="Calibri"/>
        </w:rPr>
        <w:t>And this paper matters because practice is where all of it lands. The philosophical commitments of the AFS are not decorative. They are operational — they govern what the practitioner notices, how they read what they notice, what they do with the reading, and how they hold their conclusions as the situation continues to unfold. Philosophy, in this account, is not the opposite of practice. It is practice made explicit — the articulable portion of what the reflective practitioner is doing when they are doing their best work.</w:t>
      </w:r>
    </w:p>
    <w:p w14:paraId="2285B7CE" w14:textId="77777777" w:rsidR="001F0D24" w:rsidRPr="00BF689A" w:rsidRDefault="00C324A5" w:rsidP="00BF689A">
      <w:pPr>
        <w:spacing w:before="240" w:after="200"/>
        <w:rPr>
          <w:rFonts w:ascii="Calibri" w:hAnsi="Calibri" w:cs="Calibri"/>
        </w:rPr>
      </w:pPr>
      <w:r w:rsidRPr="00BF689A">
        <w:rPr>
          <w:rFonts w:ascii="Calibri" w:hAnsi="Calibri" w:cs="Calibri"/>
        </w:rPr>
        <w:t xml:space="preserve">The practitioner in the room, in the moment described at the opening of this paper, is drawing on all of it simultaneously. The ontological sensitivity that registers the organization </w:t>
      </w:r>
      <w:r w:rsidRPr="00BF689A">
        <w:rPr>
          <w:rFonts w:ascii="Calibri" w:hAnsi="Calibri" w:cs="Calibri"/>
        </w:rPr>
        <w:lastRenderedPageBreak/>
        <w:t>as a living social formation rather than a mechanical system. The epistemological discipline that holds the current reading as a hypothesis rather than a conclusion. The causal literacy that identifies what kind of dynamic is operating beneath the surface of what is being said. The ethical commitment that will not soften what the situation is actually revealing.</w:t>
      </w:r>
    </w:p>
    <w:p w14:paraId="7EE9207D" w14:textId="77777777" w:rsidR="001F0D24" w:rsidRPr="00BF689A" w:rsidRDefault="00C324A5" w:rsidP="00BF689A">
      <w:pPr>
        <w:spacing w:before="240" w:after="200"/>
        <w:rPr>
          <w:rFonts w:ascii="Calibri" w:hAnsi="Calibri" w:cs="Calibri"/>
        </w:rPr>
      </w:pPr>
      <w:r w:rsidRPr="00BF689A">
        <w:rPr>
          <w:rFonts w:ascii="Calibri" w:hAnsi="Calibri" w:cs="Calibri"/>
        </w:rPr>
        <w:t>None of this is visible from the outside. It looks, at its best, like a practitioner who is simply present — attentive, calm, responsive, unhurried. What is actually happening is the integration of a philosophical formation that has become, through experience and reflection, second nature. That is what practice, at its best, is. And that is what the Adaptive Fitness System is designed to support.</w:t>
      </w:r>
    </w:p>
    <w:p w14:paraId="509066A0" w14:textId="77777777" w:rsidR="001F0D24" w:rsidRPr="00BF689A" w:rsidRDefault="00C324A5" w:rsidP="00BF689A">
      <w:pPr>
        <w:spacing w:before="240"/>
        <w:rPr>
          <w:rFonts w:ascii="Calibri" w:hAnsi="Calibri" w:cs="Calibri"/>
        </w:rPr>
      </w:pPr>
      <w:r w:rsidRPr="00BF689A">
        <w:rPr>
          <w:rFonts w:ascii="Calibri" w:hAnsi="Calibri" w:cs="Calibri"/>
          <w:color w:val="666666"/>
          <w:sz w:val="20"/>
          <w:szCs w:val="20"/>
        </w:rPr>
        <w:t>—</w:t>
      </w:r>
    </w:p>
    <w:p w14:paraId="4EBDF4D8" w14:textId="53551E41" w:rsidR="001F0D24" w:rsidRPr="00BF689A" w:rsidRDefault="00C324A5" w:rsidP="00BF689A">
      <w:pPr>
        <w:spacing w:before="240"/>
        <w:rPr>
          <w:rFonts w:ascii="Calibri" w:hAnsi="Calibri" w:cs="Calibri"/>
        </w:rPr>
      </w:pPr>
      <w:r w:rsidRPr="00BF689A">
        <w:rPr>
          <w:rFonts w:ascii="Calibri" w:hAnsi="Calibri" w:cs="Calibri"/>
          <w:i/>
          <w:iCs/>
          <w:color w:val="444444"/>
          <w:sz w:val="20"/>
          <w:szCs w:val="20"/>
        </w:rPr>
        <w:t xml:space="preserve">The preceding papers </w:t>
      </w:r>
      <w:r w:rsidR="007262E4">
        <w:rPr>
          <w:rFonts w:ascii="Calibri" w:hAnsi="Calibri" w:cs="Calibri"/>
          <w:i/>
          <w:iCs/>
          <w:color w:val="444444"/>
          <w:sz w:val="20"/>
          <w:szCs w:val="20"/>
        </w:rPr>
        <w:t>in the series</w:t>
      </w:r>
      <w:r w:rsidR="006A6DAA">
        <w:rPr>
          <w:rFonts w:ascii="Calibri" w:hAnsi="Calibri" w:cs="Calibri"/>
          <w:i/>
          <w:iCs/>
          <w:color w:val="444444"/>
          <w:sz w:val="20"/>
          <w:szCs w:val="20"/>
        </w:rPr>
        <w:t xml:space="preserve"> </w:t>
      </w:r>
      <w:r w:rsidRPr="00BF689A">
        <w:rPr>
          <w:rFonts w:ascii="Calibri" w:hAnsi="Calibri" w:cs="Calibri"/>
          <w:i/>
          <w:iCs/>
          <w:color w:val="444444"/>
          <w:sz w:val="20"/>
          <w:szCs w:val="20"/>
        </w:rPr>
        <w:t>are: Fitness, Judgment, Inquiry; The Organization That Wasn’t There; When Cause Gets Confused for Control; and The Honest Instrument.</w:t>
      </w:r>
    </w:p>
    <w:sectPr w:rsidR="001F0D24" w:rsidRPr="00BF689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75176"/>
    <w:multiLevelType w:val="hybridMultilevel"/>
    <w:tmpl w:val="B9E89A2E"/>
    <w:lvl w:ilvl="0" w:tplc="71FEB1CA">
      <w:start w:val="1"/>
      <w:numFmt w:val="bullet"/>
      <w:lvlText w:val="●"/>
      <w:lvlJc w:val="left"/>
      <w:pPr>
        <w:ind w:left="720" w:hanging="360"/>
      </w:pPr>
    </w:lvl>
    <w:lvl w:ilvl="1" w:tplc="151881EE">
      <w:start w:val="1"/>
      <w:numFmt w:val="bullet"/>
      <w:lvlText w:val="○"/>
      <w:lvlJc w:val="left"/>
      <w:pPr>
        <w:ind w:left="1440" w:hanging="360"/>
      </w:pPr>
    </w:lvl>
    <w:lvl w:ilvl="2" w:tplc="F4D2B340">
      <w:start w:val="1"/>
      <w:numFmt w:val="bullet"/>
      <w:lvlText w:val="■"/>
      <w:lvlJc w:val="left"/>
      <w:pPr>
        <w:ind w:left="2160" w:hanging="360"/>
      </w:pPr>
    </w:lvl>
    <w:lvl w:ilvl="3" w:tplc="151AF75A">
      <w:start w:val="1"/>
      <w:numFmt w:val="bullet"/>
      <w:lvlText w:val="●"/>
      <w:lvlJc w:val="left"/>
      <w:pPr>
        <w:ind w:left="2880" w:hanging="360"/>
      </w:pPr>
    </w:lvl>
    <w:lvl w:ilvl="4" w:tplc="CCFA3E4A">
      <w:start w:val="1"/>
      <w:numFmt w:val="bullet"/>
      <w:lvlText w:val="○"/>
      <w:lvlJc w:val="left"/>
      <w:pPr>
        <w:ind w:left="3600" w:hanging="360"/>
      </w:pPr>
    </w:lvl>
    <w:lvl w:ilvl="5" w:tplc="19B6C2A2">
      <w:start w:val="1"/>
      <w:numFmt w:val="bullet"/>
      <w:lvlText w:val="■"/>
      <w:lvlJc w:val="left"/>
      <w:pPr>
        <w:ind w:left="4320" w:hanging="360"/>
      </w:pPr>
    </w:lvl>
    <w:lvl w:ilvl="6" w:tplc="3F1C9D4C">
      <w:start w:val="1"/>
      <w:numFmt w:val="bullet"/>
      <w:lvlText w:val="●"/>
      <w:lvlJc w:val="left"/>
      <w:pPr>
        <w:ind w:left="5040" w:hanging="360"/>
      </w:pPr>
    </w:lvl>
    <w:lvl w:ilvl="7" w:tplc="F7169C36">
      <w:start w:val="1"/>
      <w:numFmt w:val="bullet"/>
      <w:lvlText w:val="●"/>
      <w:lvlJc w:val="left"/>
      <w:pPr>
        <w:ind w:left="5760" w:hanging="360"/>
      </w:pPr>
    </w:lvl>
    <w:lvl w:ilvl="8" w:tplc="4E00EA02">
      <w:start w:val="1"/>
      <w:numFmt w:val="bullet"/>
      <w:lvlText w:val="●"/>
      <w:lvlJc w:val="left"/>
      <w:pPr>
        <w:ind w:left="6480" w:hanging="360"/>
      </w:pPr>
    </w:lvl>
  </w:abstractNum>
  <w:num w:numId="1" w16cid:durableId="1433538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D24"/>
    <w:rsid w:val="00166775"/>
    <w:rsid w:val="001F0D24"/>
    <w:rsid w:val="00391143"/>
    <w:rsid w:val="004F6658"/>
    <w:rsid w:val="006A6DAA"/>
    <w:rsid w:val="007262E4"/>
    <w:rsid w:val="008752AA"/>
    <w:rsid w:val="00974B65"/>
    <w:rsid w:val="009D0CB1"/>
    <w:rsid w:val="00BF689A"/>
    <w:rsid w:val="00C324A5"/>
    <w:rsid w:val="00FF2E55"/>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2B56"/>
  <w15:docId w15:val="{6DF98A0F-F8F5-48DD-803B-43703CB3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CH" w:eastAsia="en-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360" w:after="160"/>
      <w:outlineLvl w:val="1"/>
    </w:pPr>
    <w:rPr>
      <w:rFonts w:ascii="Arial" w:eastAsia="Arial" w:hAnsi="Arial" w:cs="Arial"/>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8752A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752AA"/>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3001</Words>
  <Characters>17106</Characters>
  <Application>Microsoft Office Word</Application>
  <DocSecurity>0</DocSecurity>
  <Lines>142</Lines>
  <Paragraphs>40</Paragraphs>
  <ScaleCrop>false</ScaleCrop>
  <Company/>
  <LinksUpToDate>false</LinksUpToDate>
  <CharactersWithSpaces>20067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Aiello</cp:lastModifiedBy>
  <cp:revision>9</cp:revision>
  <dcterms:created xsi:type="dcterms:W3CDTF">2026-06-15T19:09:00Z</dcterms:created>
  <dcterms:modified xsi:type="dcterms:W3CDTF">2026-06-15T23:47:00Z</dcterms:modified>
</cp:coreProperties>
</file>